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31F" w:rsidRPr="00E2131F" w:rsidRDefault="00E2131F" w:rsidP="00986537">
      <w:pPr>
        <w:pStyle w:val="Standard"/>
        <w:spacing w:line="480" w:lineRule="auto"/>
      </w:pPr>
      <w:r w:rsidRPr="00E2131F">
        <w:rPr>
          <w:b/>
        </w:rPr>
        <w:t xml:space="preserve">Loan and inheritance patterns in hunter-gatherer ethnobiological </w:t>
      </w:r>
      <w:r w:rsidR="006022C1">
        <w:rPr>
          <w:b/>
        </w:rPr>
        <w:t xml:space="preserve">nomenclature </w:t>
      </w:r>
    </w:p>
    <w:p w:rsidR="00E2131F" w:rsidRDefault="00986537" w:rsidP="00986537">
      <w:pPr>
        <w:pStyle w:val="Standard"/>
        <w:spacing w:line="480" w:lineRule="auto"/>
      </w:pPr>
      <w:r>
        <w:t>August 15, 2013</w:t>
      </w:r>
    </w:p>
    <w:p w:rsidR="00986537" w:rsidRDefault="00986537" w:rsidP="00986537">
      <w:pPr>
        <w:pStyle w:val="Standard"/>
        <w:spacing w:line="480" w:lineRule="auto"/>
      </w:pPr>
      <w:r>
        <w:t>Word Count of text: 14,700</w:t>
      </w:r>
    </w:p>
    <w:p w:rsidR="00986537" w:rsidRDefault="00986537" w:rsidP="00986537">
      <w:pPr>
        <w:pStyle w:val="Standard"/>
        <w:spacing w:line="480" w:lineRule="auto"/>
      </w:pPr>
      <w:r>
        <w:t>Word count of references: 1400</w:t>
      </w:r>
    </w:p>
    <w:p w:rsidR="00986537" w:rsidRDefault="00986537" w:rsidP="00986537">
      <w:pPr>
        <w:pStyle w:val="Standard"/>
        <w:spacing w:line="480" w:lineRule="auto"/>
      </w:pPr>
      <w:r>
        <w:t>Number of Tables:</w:t>
      </w:r>
      <w:r w:rsidR="0083600B">
        <w:t xml:space="preserve"> </w:t>
      </w:r>
      <w:r w:rsidR="006E5952">
        <w:t>5</w:t>
      </w:r>
      <w:bookmarkStart w:id="0" w:name="_GoBack"/>
      <w:bookmarkEnd w:id="0"/>
    </w:p>
    <w:p w:rsidR="00986537" w:rsidRDefault="00986537" w:rsidP="00986537">
      <w:pPr>
        <w:pStyle w:val="Standard"/>
        <w:spacing w:line="480" w:lineRule="auto"/>
      </w:pPr>
      <w:r>
        <w:t>Number of Figures:</w:t>
      </w:r>
      <w:r w:rsidR="00657426">
        <w:t xml:space="preserve"> 4</w:t>
      </w:r>
    </w:p>
    <w:p w:rsidR="00986537" w:rsidRDefault="00986537" w:rsidP="00986537">
      <w:pPr>
        <w:pStyle w:val="Standard"/>
        <w:spacing w:line="480" w:lineRule="auto"/>
      </w:pPr>
    </w:p>
    <w:p w:rsidR="00986537" w:rsidRDefault="00986537" w:rsidP="00986537">
      <w:pPr>
        <w:pStyle w:val="Standard"/>
        <w:spacing w:line="480" w:lineRule="auto"/>
      </w:pPr>
    </w:p>
    <w:p w:rsidR="00657426" w:rsidRDefault="00657426" w:rsidP="00986537">
      <w:pPr>
        <w:pStyle w:val="Standard"/>
        <w:spacing w:line="480" w:lineRule="auto"/>
      </w:pPr>
    </w:p>
    <w:p w:rsidR="00657426" w:rsidRDefault="00657426" w:rsidP="00986537">
      <w:pPr>
        <w:pStyle w:val="Standard"/>
        <w:spacing w:line="480" w:lineRule="auto"/>
      </w:pPr>
    </w:p>
    <w:p w:rsidR="00657426" w:rsidRPr="00E2131F" w:rsidRDefault="00657426" w:rsidP="00986537">
      <w:pPr>
        <w:pStyle w:val="Standard"/>
        <w:spacing w:line="480" w:lineRule="auto"/>
      </w:pPr>
      <w:r>
        <w:t>Authors:</w:t>
      </w:r>
    </w:p>
    <w:p w:rsidR="00986537" w:rsidRDefault="00E2131F" w:rsidP="00677ADE">
      <w:pPr>
        <w:pStyle w:val="Standard"/>
        <w:spacing w:line="480" w:lineRule="auto"/>
        <w:ind w:left="720" w:hanging="720"/>
      </w:pPr>
      <w:r w:rsidRPr="00E2131F">
        <w:t>Claire Bowern</w:t>
      </w:r>
      <w:r w:rsidR="00677ADE">
        <w:t xml:space="preserve"> [corresponding author]</w:t>
      </w:r>
      <w:r w:rsidRPr="00E2131F">
        <w:t xml:space="preserve">, </w:t>
      </w:r>
      <w:r w:rsidR="00986537">
        <w:t>Linguistics, Yale University, 370 Temple St, New Haven, 06520</w:t>
      </w:r>
      <w:r w:rsidR="006121F1">
        <w:t>. USA</w:t>
      </w:r>
      <w:r w:rsidR="00677ADE">
        <w:t xml:space="preserve"> ; (203) 432 2045; claire.bowern@yale.edu</w:t>
      </w:r>
    </w:p>
    <w:p w:rsidR="00986537" w:rsidRDefault="00E2131F" w:rsidP="00677ADE">
      <w:pPr>
        <w:pStyle w:val="Standard"/>
        <w:spacing w:line="480" w:lineRule="auto"/>
        <w:ind w:left="720" w:hanging="720"/>
      </w:pPr>
      <w:r w:rsidRPr="00E2131F">
        <w:t xml:space="preserve">Hannah </w:t>
      </w:r>
      <w:proofErr w:type="spellStart"/>
      <w:r w:rsidRPr="00E2131F">
        <w:t>Haynie</w:t>
      </w:r>
      <w:proofErr w:type="spellEnd"/>
      <w:r w:rsidRPr="00E2131F">
        <w:t xml:space="preserve">, </w:t>
      </w:r>
      <w:r w:rsidR="006121F1">
        <w:t xml:space="preserve">Linguistics, </w:t>
      </w:r>
      <w:r w:rsidR="00986537">
        <w:t>Yale University, 370 Temple St, New Haven, 06520</w:t>
      </w:r>
      <w:r w:rsidR="006121F1">
        <w:t>, USA</w:t>
      </w:r>
      <w:r w:rsidR="00677ADE">
        <w:t>; hannah.haynie@yale.edu</w:t>
      </w:r>
    </w:p>
    <w:p w:rsidR="00986537" w:rsidRDefault="00E2131F" w:rsidP="00677ADE">
      <w:pPr>
        <w:pStyle w:val="Standard"/>
        <w:spacing w:line="480" w:lineRule="auto"/>
        <w:ind w:left="720" w:hanging="720"/>
      </w:pPr>
      <w:r w:rsidRPr="00E2131F">
        <w:t xml:space="preserve">Catherine </w:t>
      </w:r>
      <w:proofErr w:type="spellStart"/>
      <w:r w:rsidRPr="00E2131F">
        <w:t>Sheard</w:t>
      </w:r>
      <w:proofErr w:type="spellEnd"/>
      <w:r w:rsidRPr="00E2131F">
        <w:t xml:space="preserve">, </w:t>
      </w:r>
      <w:r w:rsidR="006121F1">
        <w:t>Zoology, Oxford University, South Parks Road, Oxford, OX1 3PS, UK</w:t>
      </w:r>
      <w:r w:rsidR="00677ADE">
        <w:t xml:space="preserve">; </w:t>
      </w:r>
      <w:r w:rsidR="00677ADE" w:rsidRPr="00677ADE">
        <w:t>catherine.sheard@zoo.ox.ac.uk</w:t>
      </w:r>
    </w:p>
    <w:p w:rsidR="00986537" w:rsidRDefault="00E2131F" w:rsidP="00677ADE">
      <w:pPr>
        <w:pStyle w:val="Standard"/>
        <w:spacing w:line="480" w:lineRule="auto"/>
        <w:ind w:left="720" w:hanging="720"/>
      </w:pPr>
      <w:r w:rsidRPr="00E2131F">
        <w:t xml:space="preserve">Barry Alpher, </w:t>
      </w:r>
      <w:r w:rsidR="006121F1">
        <w:t>Independent Scholar</w:t>
      </w:r>
      <w:r w:rsidR="00677ADE">
        <w:t>, Washington, DC, USA barryalpher@gmail.com</w:t>
      </w:r>
    </w:p>
    <w:p w:rsidR="00986537" w:rsidRDefault="00E2131F" w:rsidP="00677ADE">
      <w:pPr>
        <w:pStyle w:val="Standard"/>
        <w:spacing w:line="480" w:lineRule="auto"/>
        <w:ind w:left="720" w:hanging="720"/>
      </w:pPr>
      <w:r w:rsidRPr="00E2131F">
        <w:t xml:space="preserve">Patience Epps, </w:t>
      </w:r>
      <w:r w:rsidR="006121F1">
        <w:t>Linguistics, University of Texas at Austin</w:t>
      </w:r>
      <w:r w:rsidR="00677ADE">
        <w:t>, pattieepps@utexas.edu</w:t>
      </w:r>
    </w:p>
    <w:p w:rsidR="00986537" w:rsidRDefault="00E2131F" w:rsidP="00677ADE">
      <w:pPr>
        <w:pStyle w:val="Standard"/>
        <w:spacing w:line="480" w:lineRule="auto"/>
        <w:ind w:left="720" w:hanging="720"/>
      </w:pPr>
      <w:r w:rsidRPr="00E2131F">
        <w:t>Jane Hill</w:t>
      </w:r>
      <w:r w:rsidR="00D90D3C">
        <w:t xml:space="preserve">, </w:t>
      </w:r>
      <w:r w:rsidR="006121F1">
        <w:t xml:space="preserve"> Anthropology, University of Arizona</w:t>
      </w:r>
      <w:r w:rsidR="00677ADE">
        <w:t>; jhill@email.arizona.edu</w:t>
      </w:r>
    </w:p>
    <w:p w:rsidR="00E2131F" w:rsidRPr="00E2131F" w:rsidRDefault="00D90D3C" w:rsidP="00657426">
      <w:pPr>
        <w:pStyle w:val="Standard"/>
        <w:spacing w:line="480" w:lineRule="auto"/>
        <w:ind w:left="720" w:hanging="720"/>
      </w:pPr>
      <w:r>
        <w:t>Patrick McConvell</w:t>
      </w:r>
      <w:r w:rsidR="006121F1">
        <w:t xml:space="preserve">, School of Language Studies, Australian National University, Canberra, </w:t>
      </w:r>
      <w:r w:rsidR="00677ADE">
        <w:t>ACT, 0200; patrick.mcconvell@anu.edu.au</w:t>
      </w:r>
    </w:p>
    <w:p w:rsidR="00986537" w:rsidRDefault="00986537">
      <w:pPr>
        <w:widowControl/>
        <w:suppressAutoHyphens w:val="0"/>
        <w:autoSpaceDN/>
        <w:spacing w:after="200" w:line="276" w:lineRule="auto"/>
        <w:textAlignment w:val="auto"/>
        <w:rPr>
          <w:b/>
        </w:rPr>
      </w:pPr>
      <w:r>
        <w:rPr>
          <w:b/>
        </w:rPr>
        <w:br w:type="page"/>
      </w:r>
    </w:p>
    <w:p w:rsidR="008206CC" w:rsidRPr="00C81734" w:rsidRDefault="00E2131F" w:rsidP="00986537">
      <w:pPr>
        <w:pStyle w:val="Standard"/>
        <w:spacing w:line="480" w:lineRule="auto"/>
        <w:rPr>
          <w:b/>
        </w:rPr>
      </w:pPr>
      <w:r w:rsidRPr="00C81734">
        <w:rPr>
          <w:b/>
        </w:rPr>
        <w:lastRenderedPageBreak/>
        <w:t xml:space="preserve">Abstract </w:t>
      </w:r>
    </w:p>
    <w:p w:rsidR="00C81734" w:rsidRDefault="00C81734" w:rsidP="00986537">
      <w:pPr>
        <w:pStyle w:val="Standard"/>
        <w:spacing w:line="480" w:lineRule="auto"/>
      </w:pPr>
    </w:p>
    <w:p w:rsidR="00E2131F" w:rsidRDefault="00242179" w:rsidP="00677ADE">
      <w:pPr>
        <w:pStyle w:val="Standard"/>
        <w:spacing w:line="480" w:lineRule="auto"/>
        <w:ind w:firstLine="720"/>
      </w:pPr>
      <w:r w:rsidRPr="008206CC">
        <w:t xml:space="preserve">We compare the etymologies of ethnobiological nomenclature in </w:t>
      </w:r>
      <w:r w:rsidR="008206CC" w:rsidRPr="008206CC">
        <w:t xml:space="preserve">130 hunter-gatherer and agriculturalist languages </w:t>
      </w:r>
      <w:r w:rsidR="00C81734">
        <w:t xml:space="preserve">in </w:t>
      </w:r>
      <w:r w:rsidR="008206CC" w:rsidRPr="008206CC">
        <w:t xml:space="preserve">Australia, North America, and </w:t>
      </w:r>
      <w:r w:rsidR="00C81734">
        <w:t>Amazonia</w:t>
      </w:r>
      <w:r w:rsidR="008206CC">
        <w:t>. Previous work has identified correlations between systems of ethnobiological terminology and dominant</w:t>
      </w:r>
      <w:r w:rsidR="00C81734">
        <w:t xml:space="preserve"> means of community subsistence, relating </w:t>
      </w:r>
      <w:r w:rsidR="008206CC">
        <w:t xml:space="preserve">stability of terminology to the ‘salience’ of the items. </w:t>
      </w:r>
      <w:r w:rsidR="008206CC" w:rsidRPr="00E2131F">
        <w:t xml:space="preserve">However, </w:t>
      </w:r>
      <w:r w:rsidR="008206CC">
        <w:t xml:space="preserve">the </w:t>
      </w:r>
      <w:r w:rsidR="008206CC" w:rsidRPr="00E2131F">
        <w:t xml:space="preserve">relevance </w:t>
      </w:r>
      <w:r w:rsidR="008206CC">
        <w:t xml:space="preserve">of subsistence patterns </w:t>
      </w:r>
      <w:r w:rsidR="008206CC" w:rsidRPr="00E2131F">
        <w:t xml:space="preserve">to the development of ethnobiological nomenclature </w:t>
      </w:r>
      <w:r w:rsidR="008206CC">
        <w:t xml:space="preserve">requires further investigation, as does the notion of ‘salience’ and how it might relate to etymological stability. </w:t>
      </w:r>
      <w:r w:rsidR="00160D2A">
        <w:t>The current study probes the relationship between salience and stability and the variability within this relationship. We refine the notion of stability by studying both inheritance and loan rates. We refine the notion of ‘salience’ by separately testing retention and loan rates in flora and fauna vocabulary that might be considered salient for different reasons.</w:t>
      </w:r>
      <w:r w:rsidR="002148D1">
        <w:t xml:space="preserve"> </w:t>
      </w:r>
      <w:r w:rsidR="00367B50" w:rsidRPr="00367B50">
        <w:t xml:space="preserve">Results indicate that the most etymologically stable items are core foodstuffs </w:t>
      </w:r>
      <w:r w:rsidR="006A54E3">
        <w:t>(whether cultivated or wild)</w:t>
      </w:r>
      <w:r w:rsidR="002148D1">
        <w:t xml:space="preserve">. </w:t>
      </w:r>
      <w:r w:rsidR="00C81734">
        <w:t>P</w:t>
      </w:r>
      <w:r w:rsidR="002148D1">
        <w:t>sychotropic items were</w:t>
      </w:r>
      <w:r w:rsidR="00F07868">
        <w:t xml:space="preserve"> more likely to be loaned</w:t>
      </w:r>
      <w:r w:rsidR="006A54E3">
        <w:t>. There were no significant patterns for cultivar status or trade, though we note that the most frequently loaned ite</w:t>
      </w:r>
      <w:r w:rsidR="00C81734">
        <w:t>ms in the sample are also traded</w:t>
      </w:r>
      <w:r w:rsidR="006A54E3">
        <w:t>.</w:t>
      </w:r>
    </w:p>
    <w:p w:rsidR="006A54E3" w:rsidRDefault="006A54E3" w:rsidP="00986537">
      <w:pPr>
        <w:pStyle w:val="Standard"/>
        <w:spacing w:line="480" w:lineRule="auto"/>
      </w:pPr>
    </w:p>
    <w:p w:rsidR="00E2131F" w:rsidRPr="00E2131F" w:rsidRDefault="00E2131F" w:rsidP="00986537">
      <w:pPr>
        <w:pStyle w:val="Standard"/>
        <w:spacing w:line="480" w:lineRule="auto"/>
      </w:pPr>
    </w:p>
    <w:p w:rsidR="00367B50" w:rsidRDefault="00677ADE" w:rsidP="00986537">
      <w:pPr>
        <w:pStyle w:val="Standard"/>
        <w:spacing w:line="480" w:lineRule="auto"/>
      </w:pPr>
      <w:r>
        <w:t>Key</w:t>
      </w:r>
      <w:r w:rsidR="00E2131F" w:rsidRPr="00E2131F">
        <w:t xml:space="preserve">words: </w:t>
      </w:r>
      <w:r w:rsidR="00D90D3C">
        <w:t xml:space="preserve">Historical linguistics, ethnobiological nomenclature, subsistence patterns, </w:t>
      </w:r>
      <w:r>
        <w:t>hunter-gatherers</w:t>
      </w:r>
    </w:p>
    <w:p w:rsidR="00367B50" w:rsidRDefault="00367B50">
      <w:pPr>
        <w:widowControl/>
        <w:suppressAutoHyphens w:val="0"/>
        <w:autoSpaceDN/>
        <w:spacing w:after="200" w:line="276" w:lineRule="auto"/>
        <w:textAlignment w:val="auto"/>
      </w:pPr>
      <w:r>
        <w:br w:type="page"/>
      </w:r>
    </w:p>
    <w:p w:rsidR="00367B50" w:rsidRDefault="00367B50" w:rsidP="00367B50">
      <w:pPr>
        <w:spacing w:line="480" w:lineRule="auto"/>
        <w:ind w:firstLine="720"/>
      </w:pPr>
      <w:proofErr w:type="spellStart"/>
      <w:r>
        <w:lastRenderedPageBreak/>
        <w:t>Comparamos</w:t>
      </w:r>
      <w:proofErr w:type="spellEnd"/>
      <w:r>
        <w:t xml:space="preserve"> </w:t>
      </w:r>
      <w:proofErr w:type="spellStart"/>
      <w:r>
        <w:t>las</w:t>
      </w:r>
      <w:proofErr w:type="spellEnd"/>
      <w:r>
        <w:t xml:space="preserve"> </w:t>
      </w:r>
      <w:proofErr w:type="spellStart"/>
      <w:r>
        <w:t>etimologías</w:t>
      </w:r>
      <w:proofErr w:type="spellEnd"/>
      <w:r>
        <w:t xml:space="preserve"> de </w:t>
      </w:r>
      <w:proofErr w:type="spellStart"/>
      <w:r>
        <w:t>nombres</w:t>
      </w:r>
      <w:proofErr w:type="spellEnd"/>
      <w:r>
        <w:t xml:space="preserve"> </w:t>
      </w:r>
      <w:proofErr w:type="spellStart"/>
      <w:r>
        <w:t>etnobiológicas</w:t>
      </w:r>
      <w:proofErr w:type="spellEnd"/>
      <w:r>
        <w:t xml:space="preserve"> en 130 </w:t>
      </w:r>
      <w:proofErr w:type="spellStart"/>
      <w:r>
        <w:t>idiomas</w:t>
      </w:r>
      <w:proofErr w:type="spellEnd"/>
      <w:r>
        <w:t xml:space="preserve"> de </w:t>
      </w:r>
      <w:proofErr w:type="spellStart"/>
      <w:r>
        <w:t>grupos</w:t>
      </w:r>
      <w:proofErr w:type="spellEnd"/>
      <w:r>
        <w:t xml:space="preserve"> </w:t>
      </w:r>
      <w:proofErr w:type="spellStart"/>
      <w:r>
        <w:t>recolectores-cazadores</w:t>
      </w:r>
      <w:proofErr w:type="spellEnd"/>
      <w:r>
        <w:t xml:space="preserve"> y </w:t>
      </w:r>
      <w:proofErr w:type="spellStart"/>
      <w:r>
        <w:t>cultivadores</w:t>
      </w:r>
      <w:proofErr w:type="spellEnd"/>
      <w:r>
        <w:t xml:space="preserve"> de Australia, </w:t>
      </w:r>
      <w:proofErr w:type="spellStart"/>
      <w:r>
        <w:t>Norteamérica</w:t>
      </w:r>
      <w:proofErr w:type="spellEnd"/>
      <w:r>
        <w:t xml:space="preserve">, y Amazonia.  En </w:t>
      </w:r>
      <w:proofErr w:type="spellStart"/>
      <w:r>
        <w:t>investigaciones</w:t>
      </w:r>
      <w:proofErr w:type="spellEnd"/>
      <w:r>
        <w:t xml:space="preserve"> </w:t>
      </w:r>
      <w:proofErr w:type="spellStart"/>
      <w:r>
        <w:t>previas</w:t>
      </w:r>
      <w:proofErr w:type="spellEnd"/>
      <w:r>
        <w:t xml:space="preserve">, se ha </w:t>
      </w:r>
      <w:proofErr w:type="spellStart"/>
      <w:r>
        <w:t>identificado</w:t>
      </w:r>
      <w:proofErr w:type="spellEnd"/>
      <w:r>
        <w:t xml:space="preserve"> </w:t>
      </w:r>
      <w:proofErr w:type="spellStart"/>
      <w:r>
        <w:t>correlaciones</w:t>
      </w:r>
      <w:proofErr w:type="spellEnd"/>
      <w:r>
        <w:t xml:space="preserve"> entre los </w:t>
      </w:r>
      <w:proofErr w:type="spellStart"/>
      <w:r>
        <w:t>sistemas</w:t>
      </w:r>
      <w:proofErr w:type="spellEnd"/>
      <w:r>
        <w:t xml:space="preserve"> de </w:t>
      </w:r>
      <w:proofErr w:type="spellStart"/>
      <w:r>
        <w:t>terminología</w:t>
      </w:r>
      <w:proofErr w:type="spellEnd"/>
      <w:r>
        <w:t xml:space="preserve"> </w:t>
      </w:r>
      <w:proofErr w:type="spellStart"/>
      <w:r>
        <w:t>etnobiológica</w:t>
      </w:r>
      <w:proofErr w:type="spellEnd"/>
      <w:r>
        <w:t xml:space="preserve"> y los </w:t>
      </w:r>
      <w:proofErr w:type="spellStart"/>
      <w:r>
        <w:t>sistemas</w:t>
      </w:r>
      <w:proofErr w:type="spellEnd"/>
      <w:r>
        <w:t xml:space="preserve"> </w:t>
      </w:r>
      <w:proofErr w:type="spellStart"/>
      <w:r>
        <w:t>dominantes</w:t>
      </w:r>
      <w:proofErr w:type="spellEnd"/>
      <w:r>
        <w:t xml:space="preserve"> de </w:t>
      </w:r>
      <w:proofErr w:type="spellStart"/>
      <w:r>
        <w:t>subsistencia</w:t>
      </w:r>
      <w:proofErr w:type="spellEnd"/>
      <w:r>
        <w:t xml:space="preserve"> </w:t>
      </w:r>
      <w:proofErr w:type="spellStart"/>
      <w:r>
        <w:t>comunitaria</w:t>
      </w:r>
      <w:proofErr w:type="spellEnd"/>
      <w:r>
        <w:t xml:space="preserve">, y se ha </w:t>
      </w:r>
      <w:proofErr w:type="spellStart"/>
      <w:r>
        <w:t>relacionado</w:t>
      </w:r>
      <w:proofErr w:type="spellEnd"/>
      <w:r>
        <w:t xml:space="preserve"> la </w:t>
      </w:r>
      <w:proofErr w:type="spellStart"/>
      <w:r>
        <w:t>estabilidad</w:t>
      </w:r>
      <w:proofErr w:type="spellEnd"/>
      <w:r>
        <w:t xml:space="preserve"> de los </w:t>
      </w:r>
      <w:proofErr w:type="spellStart"/>
      <w:r>
        <w:t>términos</w:t>
      </w:r>
      <w:proofErr w:type="spellEnd"/>
      <w:r>
        <w:t xml:space="preserve"> con la </w:t>
      </w:r>
      <w:proofErr w:type="spellStart"/>
      <w:r>
        <w:t>importancia</w:t>
      </w:r>
      <w:proofErr w:type="spellEnd"/>
      <w:r>
        <w:t xml:space="preserve"> o “salience” de </w:t>
      </w:r>
      <w:proofErr w:type="spellStart"/>
      <w:r>
        <w:t>sus</w:t>
      </w:r>
      <w:proofErr w:type="spellEnd"/>
      <w:r>
        <w:t xml:space="preserve"> </w:t>
      </w:r>
      <w:proofErr w:type="spellStart"/>
      <w:r>
        <w:t>referentes</w:t>
      </w:r>
      <w:proofErr w:type="spellEnd"/>
      <w:r>
        <w:t xml:space="preserve">. </w:t>
      </w:r>
      <w:proofErr w:type="spellStart"/>
      <w:r>
        <w:t>Aún</w:t>
      </w:r>
      <w:proofErr w:type="spellEnd"/>
      <w:r>
        <w:t xml:space="preserve"> </w:t>
      </w:r>
      <w:proofErr w:type="spellStart"/>
      <w:r>
        <w:t>así</w:t>
      </w:r>
      <w:proofErr w:type="spellEnd"/>
      <w:r>
        <w:t xml:space="preserve">, la </w:t>
      </w:r>
      <w:proofErr w:type="spellStart"/>
      <w:r>
        <w:t>relevancia</w:t>
      </w:r>
      <w:proofErr w:type="spellEnd"/>
      <w:r>
        <w:t xml:space="preserve"> de los </w:t>
      </w:r>
      <w:proofErr w:type="spellStart"/>
      <w:r>
        <w:t>patrones</w:t>
      </w:r>
      <w:proofErr w:type="spellEnd"/>
      <w:r>
        <w:t xml:space="preserve"> de </w:t>
      </w:r>
      <w:proofErr w:type="spellStart"/>
      <w:r>
        <w:t>subsistencia</w:t>
      </w:r>
      <w:proofErr w:type="spellEnd"/>
      <w:r>
        <w:t xml:space="preserve"> con los de la </w:t>
      </w:r>
      <w:proofErr w:type="spellStart"/>
      <w:r>
        <w:t>nomenclatura</w:t>
      </w:r>
      <w:proofErr w:type="spellEnd"/>
      <w:r>
        <w:t xml:space="preserve"> </w:t>
      </w:r>
      <w:proofErr w:type="spellStart"/>
      <w:r>
        <w:t>etnobiológica</w:t>
      </w:r>
      <w:proofErr w:type="spellEnd"/>
      <w:r>
        <w:t xml:space="preserve"> </w:t>
      </w:r>
      <w:proofErr w:type="spellStart"/>
      <w:r>
        <w:t>todavía</w:t>
      </w:r>
      <w:proofErr w:type="spellEnd"/>
      <w:r>
        <w:t xml:space="preserve"> </w:t>
      </w:r>
      <w:proofErr w:type="spellStart"/>
      <w:r>
        <w:t>merece</w:t>
      </w:r>
      <w:proofErr w:type="spellEnd"/>
      <w:r>
        <w:t xml:space="preserve"> </w:t>
      </w:r>
      <w:proofErr w:type="spellStart"/>
      <w:r>
        <w:t>investigación</w:t>
      </w:r>
      <w:proofErr w:type="spellEnd"/>
      <w:r>
        <w:t xml:space="preserve">, </w:t>
      </w:r>
      <w:proofErr w:type="spellStart"/>
      <w:r>
        <w:t>así</w:t>
      </w:r>
      <w:proofErr w:type="spellEnd"/>
      <w:r>
        <w:t xml:space="preserve"> </w:t>
      </w:r>
      <w:proofErr w:type="spellStart"/>
      <w:r>
        <w:t>como</w:t>
      </w:r>
      <w:proofErr w:type="spellEnd"/>
      <w:r>
        <w:t xml:space="preserve"> la idea de </w:t>
      </w:r>
      <w:proofErr w:type="spellStart"/>
      <w:r>
        <w:t>importancia</w:t>
      </w:r>
      <w:proofErr w:type="spellEnd"/>
      <w:r>
        <w:t xml:space="preserve"> (“salience”) y </w:t>
      </w:r>
      <w:proofErr w:type="spellStart"/>
      <w:r>
        <w:t>su</w:t>
      </w:r>
      <w:proofErr w:type="spellEnd"/>
      <w:r>
        <w:t xml:space="preserve"> </w:t>
      </w:r>
      <w:proofErr w:type="spellStart"/>
      <w:r>
        <w:t>posible</w:t>
      </w:r>
      <w:proofErr w:type="spellEnd"/>
      <w:r>
        <w:t xml:space="preserve"> </w:t>
      </w:r>
      <w:proofErr w:type="spellStart"/>
      <w:r>
        <w:t>relación</w:t>
      </w:r>
      <w:proofErr w:type="spellEnd"/>
      <w:r>
        <w:t xml:space="preserve"> con la </w:t>
      </w:r>
      <w:proofErr w:type="spellStart"/>
      <w:r>
        <w:t>estabilidad</w:t>
      </w:r>
      <w:proofErr w:type="spellEnd"/>
      <w:r>
        <w:t xml:space="preserve"> </w:t>
      </w:r>
      <w:proofErr w:type="spellStart"/>
      <w:r>
        <w:t>terminológica</w:t>
      </w:r>
      <w:proofErr w:type="spellEnd"/>
      <w:r>
        <w:t xml:space="preserve">.  La </w:t>
      </w:r>
      <w:proofErr w:type="spellStart"/>
      <w:r>
        <w:t>investigación</w:t>
      </w:r>
      <w:proofErr w:type="spellEnd"/>
      <w:r>
        <w:t xml:space="preserve"> actual </w:t>
      </w:r>
      <w:proofErr w:type="spellStart"/>
      <w:r>
        <w:t>aborda</w:t>
      </w:r>
      <w:proofErr w:type="spellEnd"/>
      <w:r>
        <w:t xml:space="preserve"> </w:t>
      </w:r>
      <w:proofErr w:type="spellStart"/>
      <w:r>
        <w:t>tal</w:t>
      </w:r>
      <w:proofErr w:type="spellEnd"/>
      <w:r>
        <w:t xml:space="preserve"> </w:t>
      </w:r>
      <w:proofErr w:type="spellStart"/>
      <w:r>
        <w:t>relación</w:t>
      </w:r>
      <w:proofErr w:type="spellEnd"/>
      <w:r>
        <w:t xml:space="preserve"> y </w:t>
      </w:r>
      <w:proofErr w:type="spellStart"/>
      <w:r>
        <w:t>su</w:t>
      </w:r>
      <w:proofErr w:type="spellEnd"/>
      <w:r>
        <w:t xml:space="preserve"> </w:t>
      </w:r>
      <w:proofErr w:type="spellStart"/>
      <w:r>
        <w:t>variabilidad</w:t>
      </w:r>
      <w:proofErr w:type="spellEnd"/>
      <w:r>
        <w:t xml:space="preserve">.  </w:t>
      </w:r>
      <w:proofErr w:type="spellStart"/>
      <w:r>
        <w:t>Hacemos</w:t>
      </w:r>
      <w:proofErr w:type="spellEnd"/>
      <w:r>
        <w:t xml:space="preserve"> </w:t>
      </w:r>
      <w:proofErr w:type="spellStart"/>
      <w:r>
        <w:t>más</w:t>
      </w:r>
      <w:proofErr w:type="spellEnd"/>
      <w:r>
        <w:t xml:space="preserve"> </w:t>
      </w:r>
      <w:proofErr w:type="spellStart"/>
      <w:r>
        <w:t>preciso</w:t>
      </w:r>
      <w:proofErr w:type="spellEnd"/>
      <w:r>
        <w:t xml:space="preserve"> el </w:t>
      </w:r>
      <w:proofErr w:type="spellStart"/>
      <w:r>
        <w:t>concepto</w:t>
      </w:r>
      <w:proofErr w:type="spellEnd"/>
      <w:r>
        <w:t xml:space="preserve"> de </w:t>
      </w:r>
      <w:proofErr w:type="spellStart"/>
      <w:r>
        <w:t>estabilidad</w:t>
      </w:r>
      <w:proofErr w:type="spellEnd"/>
      <w:r>
        <w:t xml:space="preserve"> </w:t>
      </w:r>
      <w:proofErr w:type="spellStart"/>
      <w:r>
        <w:t>por</w:t>
      </w:r>
      <w:proofErr w:type="spellEnd"/>
      <w:r>
        <w:t xml:space="preserve"> </w:t>
      </w:r>
      <w:proofErr w:type="spellStart"/>
      <w:r>
        <w:t>medio</w:t>
      </w:r>
      <w:proofErr w:type="spellEnd"/>
      <w:r>
        <w:t xml:space="preserve"> de </w:t>
      </w:r>
      <w:proofErr w:type="spellStart"/>
      <w:r>
        <w:t>una</w:t>
      </w:r>
      <w:proofErr w:type="spellEnd"/>
      <w:r>
        <w:t xml:space="preserve"> </w:t>
      </w:r>
      <w:proofErr w:type="spellStart"/>
      <w:r>
        <w:t>investigacion</w:t>
      </w:r>
      <w:proofErr w:type="spellEnd"/>
      <w:r>
        <w:t xml:space="preserve"> de </w:t>
      </w:r>
      <w:proofErr w:type="spellStart"/>
      <w:r>
        <w:t>las</w:t>
      </w:r>
      <w:proofErr w:type="spellEnd"/>
      <w:r>
        <w:t xml:space="preserve"> </w:t>
      </w:r>
      <w:proofErr w:type="spellStart"/>
      <w:r>
        <w:t>frecuencias</w:t>
      </w:r>
      <w:proofErr w:type="spellEnd"/>
      <w:r>
        <w:t xml:space="preserve"> de </w:t>
      </w:r>
      <w:proofErr w:type="spellStart"/>
      <w:r>
        <w:t>herencia</w:t>
      </w:r>
      <w:proofErr w:type="spellEnd"/>
      <w:r>
        <w:t xml:space="preserve"> y </w:t>
      </w:r>
      <w:proofErr w:type="spellStart"/>
      <w:r>
        <w:t>préstamos</w:t>
      </w:r>
      <w:proofErr w:type="spellEnd"/>
      <w:r>
        <w:t xml:space="preserve"> en el </w:t>
      </w:r>
      <w:proofErr w:type="spellStart"/>
      <w:r>
        <w:t>vocabulario</w:t>
      </w:r>
      <w:proofErr w:type="spellEnd"/>
      <w:r>
        <w:t xml:space="preserve"> </w:t>
      </w:r>
      <w:proofErr w:type="spellStart"/>
      <w:r>
        <w:t>etnobiológico</w:t>
      </w:r>
      <w:proofErr w:type="spellEnd"/>
      <w:r>
        <w:t xml:space="preserve">.  </w:t>
      </w:r>
      <w:proofErr w:type="spellStart"/>
      <w:r>
        <w:t>Precisamos</w:t>
      </w:r>
      <w:proofErr w:type="spellEnd"/>
      <w:r>
        <w:t xml:space="preserve"> el </w:t>
      </w:r>
      <w:proofErr w:type="spellStart"/>
      <w:r>
        <w:t>concepto</w:t>
      </w:r>
      <w:proofErr w:type="spellEnd"/>
      <w:r>
        <w:t xml:space="preserve"> de </w:t>
      </w:r>
      <w:proofErr w:type="spellStart"/>
      <w:r>
        <w:t>importancia</w:t>
      </w:r>
      <w:proofErr w:type="spellEnd"/>
      <w:r>
        <w:t xml:space="preserve"> (“salience”) </w:t>
      </w:r>
      <w:proofErr w:type="spellStart"/>
      <w:r>
        <w:t>por</w:t>
      </w:r>
      <w:proofErr w:type="spellEnd"/>
      <w:r>
        <w:t xml:space="preserve"> </w:t>
      </w:r>
      <w:proofErr w:type="spellStart"/>
      <w:r>
        <w:t>medio</w:t>
      </w:r>
      <w:proofErr w:type="spellEnd"/>
      <w:r>
        <w:t xml:space="preserve"> de </w:t>
      </w:r>
      <w:proofErr w:type="spellStart"/>
      <w:r>
        <w:t>investigaciones</w:t>
      </w:r>
      <w:proofErr w:type="spellEnd"/>
      <w:r>
        <w:t xml:space="preserve"> de la </w:t>
      </w:r>
      <w:proofErr w:type="spellStart"/>
      <w:r>
        <w:t>frecuencia</w:t>
      </w:r>
      <w:proofErr w:type="spellEnd"/>
      <w:r>
        <w:t xml:space="preserve"> de </w:t>
      </w:r>
      <w:proofErr w:type="spellStart"/>
      <w:r>
        <w:t>términos</w:t>
      </w:r>
      <w:proofErr w:type="spellEnd"/>
      <w:r>
        <w:t xml:space="preserve"> </w:t>
      </w:r>
      <w:proofErr w:type="spellStart"/>
      <w:r>
        <w:t>heredados</w:t>
      </w:r>
      <w:proofErr w:type="spellEnd"/>
      <w:r>
        <w:t xml:space="preserve"> y </w:t>
      </w:r>
      <w:proofErr w:type="spellStart"/>
      <w:r>
        <w:t>términos</w:t>
      </w:r>
      <w:proofErr w:type="spellEnd"/>
      <w:r>
        <w:t xml:space="preserve"> </w:t>
      </w:r>
      <w:proofErr w:type="spellStart"/>
      <w:r>
        <w:t>prestados</w:t>
      </w:r>
      <w:proofErr w:type="spellEnd"/>
      <w:r>
        <w:t xml:space="preserve"> en el </w:t>
      </w:r>
      <w:proofErr w:type="spellStart"/>
      <w:r>
        <w:t>vocabulario</w:t>
      </w:r>
      <w:proofErr w:type="spellEnd"/>
      <w:r>
        <w:t xml:space="preserve"> </w:t>
      </w:r>
      <w:proofErr w:type="spellStart"/>
      <w:r>
        <w:t>para</w:t>
      </w:r>
      <w:proofErr w:type="spellEnd"/>
      <w:r>
        <w:t xml:space="preserve"> </w:t>
      </w:r>
      <w:proofErr w:type="spellStart"/>
      <w:r>
        <w:t>plantas</w:t>
      </w:r>
      <w:proofErr w:type="spellEnd"/>
      <w:r>
        <w:t xml:space="preserve"> y </w:t>
      </w:r>
      <w:proofErr w:type="spellStart"/>
      <w:r>
        <w:t>animales</w:t>
      </w:r>
      <w:proofErr w:type="spellEnd"/>
      <w:r>
        <w:t xml:space="preserve"> </w:t>
      </w:r>
      <w:proofErr w:type="spellStart"/>
      <w:r>
        <w:t>que</w:t>
      </w:r>
      <w:proofErr w:type="spellEnd"/>
      <w:r>
        <w:t xml:space="preserve"> </w:t>
      </w:r>
      <w:proofErr w:type="spellStart"/>
      <w:r>
        <w:t>pudieran</w:t>
      </w:r>
      <w:proofErr w:type="spellEnd"/>
      <w:r>
        <w:t xml:space="preserve"> ser </w:t>
      </w:r>
      <w:proofErr w:type="spellStart"/>
      <w:r>
        <w:t>considerados</w:t>
      </w:r>
      <w:proofErr w:type="spellEnd"/>
      <w:r>
        <w:t xml:space="preserve"> “</w:t>
      </w:r>
      <w:proofErr w:type="spellStart"/>
      <w:r>
        <w:t>importantes</w:t>
      </w:r>
      <w:proofErr w:type="spellEnd"/>
      <w:r>
        <w:t xml:space="preserve">” </w:t>
      </w:r>
      <w:proofErr w:type="spellStart"/>
      <w:r>
        <w:t>por</w:t>
      </w:r>
      <w:proofErr w:type="spellEnd"/>
      <w:r>
        <w:t xml:space="preserve"> </w:t>
      </w:r>
      <w:proofErr w:type="spellStart"/>
      <w:r>
        <w:t>distintas</w:t>
      </w:r>
      <w:proofErr w:type="spellEnd"/>
      <w:r>
        <w:t xml:space="preserve"> </w:t>
      </w:r>
      <w:proofErr w:type="spellStart"/>
      <w:r>
        <w:t>razones</w:t>
      </w:r>
      <w:proofErr w:type="spellEnd"/>
      <w:r>
        <w:t xml:space="preserve">.  Los </w:t>
      </w:r>
      <w:proofErr w:type="spellStart"/>
      <w:r>
        <w:t>resultados</w:t>
      </w:r>
      <w:proofErr w:type="spellEnd"/>
      <w:r>
        <w:t xml:space="preserve"> </w:t>
      </w:r>
      <w:proofErr w:type="spellStart"/>
      <w:r>
        <w:t>indican</w:t>
      </w:r>
      <w:proofErr w:type="spellEnd"/>
      <w:r>
        <w:t xml:space="preserve"> </w:t>
      </w:r>
      <w:proofErr w:type="spellStart"/>
      <w:r>
        <w:t>que</w:t>
      </w:r>
      <w:proofErr w:type="spellEnd"/>
      <w:r>
        <w:t xml:space="preserve"> se </w:t>
      </w:r>
      <w:proofErr w:type="spellStart"/>
      <w:r>
        <w:t>encuentra</w:t>
      </w:r>
      <w:proofErr w:type="spellEnd"/>
      <w:r>
        <w:t xml:space="preserve"> </w:t>
      </w:r>
      <w:proofErr w:type="spellStart"/>
      <w:r>
        <w:t>mas</w:t>
      </w:r>
      <w:proofErr w:type="spellEnd"/>
      <w:r>
        <w:t xml:space="preserve"> </w:t>
      </w:r>
      <w:proofErr w:type="spellStart"/>
      <w:r>
        <w:t>estabilidad</w:t>
      </w:r>
      <w:proofErr w:type="spellEnd"/>
      <w:r>
        <w:t xml:space="preserve"> entre los </w:t>
      </w:r>
      <w:proofErr w:type="spellStart"/>
      <w:r>
        <w:t>términos</w:t>
      </w:r>
      <w:proofErr w:type="spellEnd"/>
      <w:r>
        <w:t xml:space="preserve"> </w:t>
      </w:r>
      <w:proofErr w:type="spellStart"/>
      <w:r>
        <w:t>cuyos</w:t>
      </w:r>
      <w:proofErr w:type="spellEnd"/>
      <w:r>
        <w:t xml:space="preserve"> </w:t>
      </w:r>
      <w:proofErr w:type="spellStart"/>
      <w:r>
        <w:t>referentes</w:t>
      </w:r>
      <w:proofErr w:type="spellEnd"/>
      <w:r>
        <w:t xml:space="preserve"> son los </w:t>
      </w:r>
      <w:proofErr w:type="spellStart"/>
      <w:r>
        <w:t>elementos</w:t>
      </w:r>
      <w:proofErr w:type="spellEnd"/>
      <w:r>
        <w:t xml:space="preserve"> </w:t>
      </w:r>
      <w:proofErr w:type="spellStart"/>
      <w:r>
        <w:t>centrales</w:t>
      </w:r>
      <w:proofErr w:type="spellEnd"/>
      <w:r>
        <w:t xml:space="preserve"> en el </w:t>
      </w:r>
      <w:proofErr w:type="spellStart"/>
      <w:r>
        <w:t>sistema</w:t>
      </w:r>
      <w:proofErr w:type="spellEnd"/>
      <w:r>
        <w:t xml:space="preserve"> de </w:t>
      </w:r>
      <w:proofErr w:type="spellStart"/>
      <w:r>
        <w:t>consumo</w:t>
      </w:r>
      <w:proofErr w:type="spellEnd"/>
      <w:r>
        <w:t xml:space="preserve"> de comestibles (</w:t>
      </w:r>
      <w:proofErr w:type="spellStart"/>
      <w:r>
        <w:t>tanto</w:t>
      </w:r>
      <w:proofErr w:type="spellEnd"/>
      <w:r>
        <w:t xml:space="preserve"> </w:t>
      </w:r>
      <w:proofErr w:type="spellStart"/>
      <w:r>
        <w:t>si</w:t>
      </w:r>
      <w:proofErr w:type="spellEnd"/>
      <w:r>
        <w:t xml:space="preserve"> </w:t>
      </w:r>
      <w:proofErr w:type="spellStart"/>
      <w:r>
        <w:t>sean</w:t>
      </w:r>
      <w:proofErr w:type="spellEnd"/>
      <w:r>
        <w:t xml:space="preserve"> </w:t>
      </w:r>
      <w:proofErr w:type="spellStart"/>
      <w:r>
        <w:t>cultivados</w:t>
      </w:r>
      <w:proofErr w:type="spellEnd"/>
      <w:r>
        <w:t xml:space="preserve"> o </w:t>
      </w:r>
      <w:proofErr w:type="spellStart"/>
      <w:r>
        <w:t>recolectados</w:t>
      </w:r>
      <w:proofErr w:type="spellEnd"/>
      <w:r>
        <w:t xml:space="preserve">).  Las </w:t>
      </w:r>
      <w:proofErr w:type="spellStart"/>
      <w:r>
        <w:t>etiquetas</w:t>
      </w:r>
      <w:proofErr w:type="spellEnd"/>
      <w:r>
        <w:t xml:space="preserve"> </w:t>
      </w:r>
      <w:proofErr w:type="spellStart"/>
      <w:r>
        <w:t>para</w:t>
      </w:r>
      <w:proofErr w:type="spellEnd"/>
      <w:r>
        <w:t xml:space="preserve"> </w:t>
      </w:r>
      <w:proofErr w:type="spellStart"/>
      <w:r>
        <w:t>plantas</w:t>
      </w:r>
      <w:proofErr w:type="spellEnd"/>
      <w:r>
        <w:t xml:space="preserve"> o </w:t>
      </w:r>
      <w:proofErr w:type="spellStart"/>
      <w:r>
        <w:t>animales</w:t>
      </w:r>
      <w:proofErr w:type="spellEnd"/>
      <w:r>
        <w:t xml:space="preserve"> con </w:t>
      </w:r>
      <w:proofErr w:type="spellStart"/>
      <w:r>
        <w:t>propiedades</w:t>
      </w:r>
      <w:proofErr w:type="spellEnd"/>
      <w:r>
        <w:t xml:space="preserve"> </w:t>
      </w:r>
      <w:proofErr w:type="spellStart"/>
      <w:r>
        <w:t>psycotrópicos</w:t>
      </w:r>
      <w:proofErr w:type="spellEnd"/>
      <w:r>
        <w:t xml:space="preserve"> </w:t>
      </w:r>
      <w:proofErr w:type="spellStart"/>
      <w:r>
        <w:t>manifiestan</w:t>
      </w:r>
      <w:proofErr w:type="spellEnd"/>
      <w:r>
        <w:t xml:space="preserve"> </w:t>
      </w:r>
      <w:proofErr w:type="spellStart"/>
      <w:r>
        <w:t>una</w:t>
      </w:r>
      <w:proofErr w:type="spellEnd"/>
      <w:r>
        <w:t xml:space="preserve"> </w:t>
      </w:r>
      <w:proofErr w:type="spellStart"/>
      <w:r>
        <w:t>frecuencia</w:t>
      </w:r>
      <w:proofErr w:type="spellEnd"/>
      <w:r>
        <w:t xml:space="preserve"> </w:t>
      </w:r>
      <w:proofErr w:type="spellStart"/>
      <w:r>
        <w:t>mas</w:t>
      </w:r>
      <w:proofErr w:type="spellEnd"/>
      <w:r>
        <w:t xml:space="preserve"> </w:t>
      </w:r>
      <w:proofErr w:type="spellStart"/>
      <w:r>
        <w:t>alta</w:t>
      </w:r>
      <w:proofErr w:type="spellEnd"/>
      <w:r>
        <w:t xml:space="preserve"> de </w:t>
      </w:r>
      <w:proofErr w:type="spellStart"/>
      <w:r>
        <w:t>préstamos</w:t>
      </w:r>
      <w:proofErr w:type="spellEnd"/>
      <w:r>
        <w:t xml:space="preserve">.  No </w:t>
      </w:r>
      <w:proofErr w:type="spellStart"/>
      <w:r>
        <w:t>identificamos</w:t>
      </w:r>
      <w:proofErr w:type="spellEnd"/>
      <w:r>
        <w:t xml:space="preserve"> </w:t>
      </w:r>
      <w:proofErr w:type="spellStart"/>
      <w:r>
        <w:t>patrones</w:t>
      </w:r>
      <w:proofErr w:type="spellEnd"/>
      <w:r>
        <w:t xml:space="preserve"> </w:t>
      </w:r>
      <w:proofErr w:type="spellStart"/>
      <w:r>
        <w:t>distintas</w:t>
      </w:r>
      <w:proofErr w:type="spellEnd"/>
      <w:r>
        <w:t xml:space="preserve"> entre los </w:t>
      </w:r>
      <w:proofErr w:type="spellStart"/>
      <w:r>
        <w:t>sistemas</w:t>
      </w:r>
      <w:proofErr w:type="spellEnd"/>
      <w:r>
        <w:t xml:space="preserve"> de </w:t>
      </w:r>
      <w:proofErr w:type="spellStart"/>
      <w:r>
        <w:t>etiquetas</w:t>
      </w:r>
      <w:proofErr w:type="spellEnd"/>
      <w:r>
        <w:t xml:space="preserve"> </w:t>
      </w:r>
      <w:proofErr w:type="spellStart"/>
      <w:r>
        <w:t>para</w:t>
      </w:r>
      <w:proofErr w:type="spellEnd"/>
      <w:r>
        <w:t xml:space="preserve"> </w:t>
      </w:r>
      <w:proofErr w:type="spellStart"/>
      <w:r>
        <w:t>elementos</w:t>
      </w:r>
      <w:proofErr w:type="spellEnd"/>
      <w:r>
        <w:t xml:space="preserve"> </w:t>
      </w:r>
      <w:proofErr w:type="spellStart"/>
      <w:r>
        <w:t>cultivados</w:t>
      </w:r>
      <w:proofErr w:type="spellEnd"/>
      <w:r>
        <w:t xml:space="preserve"> en </w:t>
      </w:r>
      <w:proofErr w:type="spellStart"/>
      <w:r>
        <w:t>contraste</w:t>
      </w:r>
      <w:proofErr w:type="spellEnd"/>
      <w:r>
        <w:t xml:space="preserve"> de los no </w:t>
      </w:r>
      <w:proofErr w:type="spellStart"/>
      <w:r>
        <w:t>cultivados</w:t>
      </w:r>
      <w:proofErr w:type="spellEnd"/>
      <w:r>
        <w:t xml:space="preserve">, </w:t>
      </w:r>
      <w:proofErr w:type="spellStart"/>
      <w:r>
        <w:t>ni</w:t>
      </w:r>
      <w:proofErr w:type="spellEnd"/>
      <w:r>
        <w:t xml:space="preserve"> </w:t>
      </w:r>
      <w:proofErr w:type="spellStart"/>
      <w:r>
        <w:t>para</w:t>
      </w:r>
      <w:proofErr w:type="spellEnd"/>
      <w:r>
        <w:t xml:space="preserve"> los </w:t>
      </w:r>
      <w:proofErr w:type="spellStart"/>
      <w:r>
        <w:t>sistemas</w:t>
      </w:r>
      <w:proofErr w:type="spellEnd"/>
      <w:r>
        <w:t xml:space="preserve"> </w:t>
      </w:r>
      <w:proofErr w:type="spellStart"/>
      <w:r>
        <w:t>para</w:t>
      </w:r>
      <w:proofErr w:type="spellEnd"/>
      <w:r>
        <w:t xml:space="preserve"> </w:t>
      </w:r>
      <w:proofErr w:type="spellStart"/>
      <w:r>
        <w:t>elementos</w:t>
      </w:r>
      <w:proofErr w:type="spellEnd"/>
      <w:r>
        <w:t xml:space="preserve"> </w:t>
      </w:r>
      <w:proofErr w:type="spellStart"/>
      <w:r>
        <w:t>involucrados</w:t>
      </w:r>
      <w:proofErr w:type="spellEnd"/>
      <w:r>
        <w:t xml:space="preserve"> en </w:t>
      </w:r>
      <w:proofErr w:type="spellStart"/>
      <w:r>
        <w:t>comercio</w:t>
      </w:r>
      <w:proofErr w:type="spellEnd"/>
      <w:r>
        <w:t xml:space="preserve">, </w:t>
      </w:r>
      <w:proofErr w:type="spellStart"/>
      <w:r>
        <w:t>aunque</w:t>
      </w:r>
      <w:proofErr w:type="spellEnd"/>
      <w:r>
        <w:t xml:space="preserve"> </w:t>
      </w:r>
      <w:proofErr w:type="spellStart"/>
      <w:r>
        <w:t>observamos</w:t>
      </w:r>
      <w:proofErr w:type="spellEnd"/>
      <w:r>
        <w:t xml:space="preserve"> </w:t>
      </w:r>
      <w:proofErr w:type="spellStart"/>
      <w:r>
        <w:t>que</w:t>
      </w:r>
      <w:proofErr w:type="spellEnd"/>
      <w:r>
        <w:t xml:space="preserve"> los </w:t>
      </w:r>
      <w:proofErr w:type="spellStart"/>
      <w:r>
        <w:t>términos</w:t>
      </w:r>
      <w:proofErr w:type="spellEnd"/>
      <w:r>
        <w:t xml:space="preserve"> en la </w:t>
      </w:r>
      <w:proofErr w:type="spellStart"/>
      <w:r>
        <w:t>muestra</w:t>
      </w:r>
      <w:proofErr w:type="spellEnd"/>
      <w:r>
        <w:t xml:space="preserve"> con la </w:t>
      </w:r>
      <w:proofErr w:type="spellStart"/>
      <w:r>
        <w:t>más</w:t>
      </w:r>
      <w:proofErr w:type="spellEnd"/>
      <w:r>
        <w:t xml:space="preserve"> </w:t>
      </w:r>
      <w:proofErr w:type="spellStart"/>
      <w:r>
        <w:t>alta</w:t>
      </w:r>
      <w:proofErr w:type="spellEnd"/>
      <w:r>
        <w:t xml:space="preserve"> </w:t>
      </w:r>
      <w:proofErr w:type="spellStart"/>
      <w:r>
        <w:t>frecuencia</w:t>
      </w:r>
      <w:proofErr w:type="spellEnd"/>
      <w:r>
        <w:t xml:space="preserve"> de ser </w:t>
      </w:r>
      <w:proofErr w:type="spellStart"/>
      <w:r>
        <w:t>prestados</w:t>
      </w:r>
      <w:proofErr w:type="spellEnd"/>
      <w:r>
        <w:t xml:space="preserve"> </w:t>
      </w:r>
      <w:proofErr w:type="spellStart"/>
      <w:r>
        <w:t>tienen</w:t>
      </w:r>
      <w:proofErr w:type="spellEnd"/>
      <w:r>
        <w:t xml:space="preserve"> </w:t>
      </w:r>
      <w:proofErr w:type="spellStart"/>
      <w:r>
        <w:t>como</w:t>
      </w:r>
      <w:proofErr w:type="spellEnd"/>
      <w:r>
        <w:t xml:space="preserve"> </w:t>
      </w:r>
      <w:proofErr w:type="spellStart"/>
      <w:r>
        <w:t>referentes</w:t>
      </w:r>
      <w:proofErr w:type="spellEnd"/>
      <w:r>
        <w:t xml:space="preserve"> </w:t>
      </w:r>
      <w:proofErr w:type="spellStart"/>
      <w:r>
        <w:t>elementos</w:t>
      </w:r>
      <w:proofErr w:type="spellEnd"/>
      <w:r>
        <w:t xml:space="preserve"> </w:t>
      </w:r>
      <w:proofErr w:type="spellStart"/>
      <w:r>
        <w:t>involucrados</w:t>
      </w:r>
      <w:proofErr w:type="spellEnd"/>
      <w:r>
        <w:t xml:space="preserve"> en </w:t>
      </w:r>
      <w:proofErr w:type="spellStart"/>
      <w:r>
        <w:t>comercio</w:t>
      </w:r>
      <w:proofErr w:type="spellEnd"/>
      <w:r>
        <w:t>.</w:t>
      </w:r>
    </w:p>
    <w:p w:rsidR="00E2131F" w:rsidRDefault="00E2131F" w:rsidP="00986537">
      <w:pPr>
        <w:pStyle w:val="Standard"/>
        <w:spacing w:line="480" w:lineRule="auto"/>
      </w:pPr>
    </w:p>
    <w:p w:rsidR="00986537" w:rsidRDefault="00986537">
      <w:pPr>
        <w:widowControl/>
        <w:suppressAutoHyphens w:val="0"/>
        <w:autoSpaceDN/>
        <w:spacing w:after="200" w:line="276" w:lineRule="auto"/>
        <w:textAlignment w:val="auto"/>
      </w:pPr>
      <w:r>
        <w:br w:type="page"/>
      </w:r>
    </w:p>
    <w:p w:rsidR="00986537" w:rsidRDefault="00986537" w:rsidP="00986537">
      <w:pPr>
        <w:pStyle w:val="Standard"/>
        <w:spacing w:line="480" w:lineRule="auto"/>
        <w:jc w:val="center"/>
        <w:rPr>
          <w:b/>
        </w:rPr>
      </w:pPr>
      <w:r w:rsidRPr="00E2131F">
        <w:rPr>
          <w:b/>
        </w:rPr>
        <w:lastRenderedPageBreak/>
        <w:t xml:space="preserve">Loan and inheritance patterns in hunter-gatherer ethnobiological </w:t>
      </w:r>
      <w:r w:rsidR="006022C1">
        <w:rPr>
          <w:b/>
        </w:rPr>
        <w:t>nomenclature</w:t>
      </w:r>
    </w:p>
    <w:p w:rsidR="00677ADE" w:rsidRPr="00E2131F" w:rsidRDefault="00677ADE" w:rsidP="00986537">
      <w:pPr>
        <w:pStyle w:val="Standard"/>
        <w:spacing w:line="480" w:lineRule="auto"/>
        <w:jc w:val="center"/>
      </w:pPr>
    </w:p>
    <w:p w:rsidR="00986537" w:rsidRPr="00677ADE" w:rsidRDefault="00986537" w:rsidP="00986537">
      <w:pPr>
        <w:pStyle w:val="Standard"/>
        <w:spacing w:line="480" w:lineRule="auto"/>
        <w:jc w:val="center"/>
        <w:rPr>
          <w:caps/>
        </w:rPr>
      </w:pPr>
      <w:r w:rsidRPr="00677ADE">
        <w:rPr>
          <w:caps/>
        </w:rPr>
        <w:t xml:space="preserve">Claire Bowern, Hannah Haynie, Catherine Sheard, Barry Alpher, Patience Epps, Jane Hill, </w:t>
      </w:r>
      <w:r w:rsidRPr="00677ADE">
        <w:t xml:space="preserve">and </w:t>
      </w:r>
      <w:r w:rsidRPr="00677ADE">
        <w:rPr>
          <w:caps/>
        </w:rPr>
        <w:t>Patrick McConvell</w:t>
      </w:r>
    </w:p>
    <w:p w:rsidR="00986537" w:rsidRPr="00E2131F" w:rsidRDefault="00986537" w:rsidP="00986537">
      <w:pPr>
        <w:pStyle w:val="Standard"/>
        <w:spacing w:line="480" w:lineRule="auto"/>
      </w:pPr>
    </w:p>
    <w:p w:rsidR="00E2131F" w:rsidRPr="00E2131F" w:rsidRDefault="0023368A" w:rsidP="00986537">
      <w:pPr>
        <w:pStyle w:val="Heading1"/>
        <w:spacing w:line="480" w:lineRule="auto"/>
      </w:pPr>
      <w:r>
        <w:t>Introduction</w:t>
      </w:r>
    </w:p>
    <w:p w:rsidR="00657426" w:rsidRPr="00E2131F" w:rsidRDefault="00E2131F" w:rsidP="00986537">
      <w:pPr>
        <w:pStyle w:val="Standard"/>
        <w:spacing w:line="480" w:lineRule="auto"/>
      </w:pPr>
      <w:r w:rsidRPr="00E2131F">
        <w:t xml:space="preserve">Work by Berlin </w:t>
      </w:r>
      <w:r w:rsidR="00233EC2">
        <w:rPr>
          <w:noProof/>
        </w:rPr>
        <w:t>(1992)</w:t>
      </w:r>
      <w:r w:rsidR="0023368A">
        <w:t xml:space="preserve">, Brown </w:t>
      </w:r>
      <w:r w:rsidR="00233EC2">
        <w:rPr>
          <w:noProof/>
        </w:rPr>
        <w:t>(2000)</w:t>
      </w:r>
      <w:r w:rsidRPr="00E2131F">
        <w:t xml:space="preserve">, Urban </w:t>
      </w:r>
      <w:r w:rsidR="00233EC2">
        <w:rPr>
          <w:noProof/>
        </w:rPr>
        <w:t>(2010)</w:t>
      </w:r>
      <w:r w:rsidRPr="00E2131F">
        <w:t xml:space="preserve">, and others has developed hypotheses regarding the structure of ethnobiological nomenclature systems and </w:t>
      </w:r>
      <w:r w:rsidR="0023368A">
        <w:t xml:space="preserve">the cross-linguistic variation </w:t>
      </w:r>
      <w:r w:rsidRPr="00E2131F">
        <w:t>these systems</w:t>
      </w:r>
      <w:r w:rsidR="0023368A">
        <w:t xml:space="preserve"> exhibit</w:t>
      </w:r>
      <w:r w:rsidRPr="00E2131F">
        <w:t>.</w:t>
      </w:r>
      <w:r w:rsidR="00657426" w:rsidRPr="00E2131F">
        <w:t xml:space="preserve"> Systems of ethnobiological terminology are thought to be strongly correlated with the dominant means of </w:t>
      </w:r>
      <w:r w:rsidR="00657426">
        <w:t xml:space="preserve">subsistence </w:t>
      </w:r>
      <w:r w:rsidR="00657426" w:rsidRPr="00E2131F">
        <w:t xml:space="preserve">in linguistic communities. For example, food production systems may be relevant to differences in rates of lexical replacement, following the observation </w:t>
      </w:r>
      <w:r w:rsidR="00657426" w:rsidRPr="00233EC2">
        <w:t>(Berlin, Breedlove, and Raven 1973; Balée and Moore 1991)</w:t>
      </w:r>
      <w:r w:rsidR="00657426">
        <w:t xml:space="preserve"> </w:t>
      </w:r>
      <w:r w:rsidR="00657426" w:rsidRPr="00E2131F">
        <w:t>that words for domesticates are subject to slower replacement than words for wild species because of their cultural salience.</w:t>
      </w:r>
    </w:p>
    <w:p w:rsidR="00657426" w:rsidRPr="00E2131F" w:rsidRDefault="00657426" w:rsidP="00986537">
      <w:pPr>
        <w:pStyle w:val="Standard"/>
        <w:spacing w:line="480" w:lineRule="auto"/>
        <w:ind w:firstLine="720"/>
      </w:pPr>
      <w:r w:rsidRPr="00E2131F">
        <w:t xml:space="preserve">However, the question of relevance </w:t>
      </w:r>
      <w:r>
        <w:t>of subsistence patterns---as well as a more general notion of ‘salience’---</w:t>
      </w:r>
      <w:r w:rsidRPr="00E2131F">
        <w:t xml:space="preserve">to the development of ethnobiological nomenclature calls for further investigation. Several of the above hypotheses have been developed with very limited sampling, creating a need for more systematic exploration. </w:t>
      </w:r>
      <w:r>
        <w:t xml:space="preserve">For example, </w:t>
      </w:r>
      <w:r w:rsidRPr="00E2131F">
        <w:t>Berlin</w:t>
      </w:r>
      <w:r>
        <w:t>’</w:t>
      </w:r>
      <w:r w:rsidRPr="00E2131F">
        <w:t xml:space="preserve">s </w:t>
      </w:r>
      <w:r>
        <w:rPr>
          <w:noProof/>
        </w:rPr>
        <w:t>(1992)</w:t>
      </w:r>
      <w:r>
        <w:t xml:space="preserve"> study</w:t>
      </w:r>
      <w:r w:rsidRPr="00E2131F">
        <w:t xml:space="preserve">, though influential, </w:t>
      </w:r>
      <w:r>
        <w:t>has</w:t>
      </w:r>
      <w:r w:rsidRPr="00E2131F">
        <w:t xml:space="preserve"> at </w:t>
      </w:r>
      <w:r>
        <w:t xml:space="preserve">its </w:t>
      </w:r>
      <w:r w:rsidRPr="00E2131F">
        <w:t xml:space="preserve">core only 13 languages, 7 of which are spoken in hunter-gatherer societies (5 from North America). While other studies </w:t>
      </w:r>
      <w:r>
        <w:rPr>
          <w:noProof/>
        </w:rPr>
        <w:t>(e.g. Urban 2010; Donohue and Denham 2009)</w:t>
      </w:r>
      <w:r w:rsidRPr="00E2131F">
        <w:t xml:space="preserve"> use much broader language samples, they investigate few </w:t>
      </w:r>
      <w:r w:rsidRPr="00E2131F">
        <w:lastRenderedPageBreak/>
        <w:t>terms. Here we evaluate hypotheses</w:t>
      </w:r>
      <w:r>
        <w:t xml:space="preserve"> about</w:t>
      </w:r>
      <w:r w:rsidRPr="00E2131F">
        <w:t xml:space="preserve"> </w:t>
      </w:r>
      <w:r>
        <w:t xml:space="preserve">stability in ethnobotanical nomenclature and </w:t>
      </w:r>
      <w:r w:rsidRPr="00E2131F">
        <w:t xml:space="preserve">the relationship of </w:t>
      </w:r>
      <w:r>
        <w:t xml:space="preserve">this </w:t>
      </w:r>
      <w:r w:rsidRPr="00E2131F">
        <w:t xml:space="preserve">nomenclature to subsistence patterns using standard lists from a large and </w:t>
      </w:r>
      <w:r>
        <w:t>geographically</w:t>
      </w:r>
      <w:r w:rsidRPr="00E2131F">
        <w:t xml:space="preserve"> diverse sample of languages. 385 flora and fauna terms were exhaustively coded for etymology </w:t>
      </w:r>
      <w:r>
        <w:rPr>
          <w:noProof/>
        </w:rPr>
        <w:t>(following the methods in Bowern et al. 2011)</w:t>
      </w:r>
      <w:r>
        <w:t xml:space="preserve"> </w:t>
      </w:r>
      <w:r w:rsidRPr="00E2131F">
        <w:t xml:space="preserve">in </w:t>
      </w:r>
      <w:r>
        <w:t xml:space="preserve">130 </w:t>
      </w:r>
      <w:r w:rsidRPr="00E2131F">
        <w:t xml:space="preserve">hunter-gatherer and agriculturalist languages of North America, Amazonia, and Northern Australia. </w:t>
      </w:r>
    </w:p>
    <w:p w:rsidR="00657426" w:rsidRPr="00E2131F" w:rsidRDefault="00657426" w:rsidP="00986537">
      <w:pPr>
        <w:pStyle w:val="Standard"/>
        <w:spacing w:line="480" w:lineRule="auto"/>
        <w:ind w:firstLine="720"/>
      </w:pPr>
      <w:r>
        <w:t xml:space="preserve">This </w:t>
      </w:r>
      <w:r w:rsidRPr="00E2131F">
        <w:t>breadth of</w:t>
      </w:r>
      <w:r>
        <w:t xml:space="preserve"> </w:t>
      </w:r>
      <w:r w:rsidRPr="00E2131F">
        <w:t>linguistic and lexical sampling allows us to conduct a relatively fine-grained exploration of the development of ethnobiological nomenclature in hunter-gatherer and agriculturalist languages. We conduct an overall comparison of the stability of the flora/fauna lexicon in languages associated with these</w:t>
      </w:r>
      <w:r>
        <w:t xml:space="preserve"> two basic subsistence patterns in order to refine the notion of ‘salience’ and what it might mean for etymological stability.</w:t>
      </w:r>
      <w:r w:rsidRPr="00E2131F">
        <w:t xml:space="preserve"> </w:t>
      </w:r>
      <w:r>
        <w:t xml:space="preserve">We </w:t>
      </w:r>
      <w:r w:rsidRPr="00E2131F">
        <w:t xml:space="preserve">compare </w:t>
      </w:r>
      <w:r>
        <w:t xml:space="preserve">findings </w:t>
      </w:r>
      <w:r w:rsidRPr="00E2131F">
        <w:t xml:space="preserve">across the three geographic sub-areas of our sample to investigate regional differences. Our sample includes hunter-gatherer languages in contact with agriculturalists (mainly in the Americas) and those with no historical agriculturalist contact (primarily in Australia), allowing for a </w:t>
      </w:r>
      <w:r>
        <w:t>more</w:t>
      </w:r>
      <w:r w:rsidRPr="00E2131F">
        <w:t xml:space="preserve"> nuanced study of the impact of subsistence patterns on the development of this area of the lexicon. We also make comparisons between categories of flora and fauna terms that derive their salience from different cultural functions (e.g. domesticates, </w:t>
      </w:r>
      <w:proofErr w:type="spellStart"/>
      <w:r w:rsidRPr="00E2131F">
        <w:t>psychotropics</w:t>
      </w:r>
      <w:proofErr w:type="spellEnd"/>
      <w:r w:rsidRPr="00E2131F">
        <w:t xml:space="preserve">, </w:t>
      </w:r>
      <w:r>
        <w:t>ritual</w:t>
      </w:r>
      <w:r w:rsidRPr="00E2131F">
        <w:t xml:space="preserve"> items) and compare the lexical stability of flora/fauna domains to borrowing patterns in basic vocabulary.</w:t>
      </w:r>
    </w:p>
    <w:p w:rsidR="00657426" w:rsidRDefault="00657426" w:rsidP="00986537">
      <w:pPr>
        <w:pStyle w:val="Heading1"/>
        <w:spacing w:line="480" w:lineRule="auto"/>
      </w:pPr>
      <w:r w:rsidRPr="00E2131F">
        <w:lastRenderedPageBreak/>
        <w:t>Background</w:t>
      </w:r>
    </w:p>
    <w:p w:rsidR="00657426" w:rsidRDefault="00657426" w:rsidP="00986537">
      <w:pPr>
        <w:pStyle w:val="Heading2"/>
        <w:spacing w:line="480" w:lineRule="auto"/>
      </w:pPr>
      <w:r w:rsidRPr="00986537">
        <w:t>Subsistence</w:t>
      </w:r>
      <w:r>
        <w:t xml:space="preserve"> pattern and ethnobiological terms</w:t>
      </w:r>
    </w:p>
    <w:p w:rsidR="00657426" w:rsidRPr="00E2131F" w:rsidRDefault="00657426" w:rsidP="00986537">
      <w:pPr>
        <w:pStyle w:val="Standard"/>
        <w:spacing w:line="480" w:lineRule="auto"/>
      </w:pPr>
      <w:r w:rsidRPr="00E2131F">
        <w:t xml:space="preserve">Recent ethnobiological work has focused on the structure of flora/fauna nomenclature systems and the variation apparent in this semantic domain cross-linguistically. Scholars such as Berlin </w:t>
      </w:r>
      <w:r>
        <w:rPr>
          <w:noProof/>
        </w:rPr>
        <w:t>(1992)</w:t>
      </w:r>
      <w:r>
        <w:t xml:space="preserve">, Brown et al. </w:t>
      </w:r>
      <w:r>
        <w:rPr>
          <w:noProof/>
        </w:rPr>
        <w:t>(1985)</w:t>
      </w:r>
      <w:r w:rsidRPr="00E2131F">
        <w:t xml:space="preserve">, </w:t>
      </w:r>
      <w:proofErr w:type="spellStart"/>
      <w:r>
        <w:t>Witkowski</w:t>
      </w:r>
      <w:proofErr w:type="spellEnd"/>
      <w:r>
        <w:t xml:space="preserve"> </w:t>
      </w:r>
      <w:r w:rsidRPr="008206CC">
        <w:t>et al</w:t>
      </w:r>
      <w:r>
        <w:t>.</w:t>
      </w:r>
      <w:r w:rsidRPr="00B31177">
        <w:t xml:space="preserve"> </w:t>
      </w:r>
      <w:r>
        <w:rPr>
          <w:noProof/>
        </w:rPr>
        <w:t>(1981)</w:t>
      </w:r>
      <w:r>
        <w:t xml:space="preserve">, </w:t>
      </w:r>
      <w:proofErr w:type="spellStart"/>
      <w:r w:rsidRPr="00E2131F">
        <w:t>Bal</w:t>
      </w:r>
      <w:r>
        <w:t>ée</w:t>
      </w:r>
      <w:proofErr w:type="spellEnd"/>
      <w:r>
        <w:t xml:space="preserve"> </w:t>
      </w:r>
      <w:r>
        <w:rPr>
          <w:noProof/>
        </w:rPr>
        <w:t>(2000)</w:t>
      </w:r>
      <w:r>
        <w:t xml:space="preserve">, and Fowler and Turner </w:t>
      </w:r>
      <w:r>
        <w:rPr>
          <w:noProof/>
        </w:rPr>
        <w:t>(1999)</w:t>
      </w:r>
      <w:r>
        <w:t xml:space="preserve"> h</w:t>
      </w:r>
      <w:r w:rsidRPr="00E2131F">
        <w:t>ave led the way in formulating influential conclusions about the ethnobiological systems found among hunter-gatherer groups and their comparison to agricultural counterparts. This work has resulted in generalizations about language structure</w:t>
      </w:r>
      <w:r>
        <w:t>s</w:t>
      </w:r>
      <w:r w:rsidRPr="00E2131F">
        <w:t xml:space="preserve"> </w:t>
      </w:r>
      <w:r>
        <w:t>that</w:t>
      </w:r>
      <w:r w:rsidRPr="00E2131F">
        <w:t xml:space="preserve"> appear to correlate with the ways in which people interact with their environment. </w:t>
      </w:r>
    </w:p>
    <w:p w:rsidR="00657426" w:rsidRPr="00E2131F" w:rsidRDefault="00657426" w:rsidP="00986537">
      <w:pPr>
        <w:pStyle w:val="Standard"/>
        <w:spacing w:line="480" w:lineRule="auto"/>
        <w:ind w:firstLine="720"/>
      </w:pPr>
      <w:r>
        <w:t xml:space="preserve">Urban </w:t>
      </w:r>
      <w:r>
        <w:rPr>
          <w:noProof/>
        </w:rPr>
        <w:t>(2010)</w:t>
      </w:r>
      <w:r w:rsidRPr="00E2131F">
        <w:t xml:space="preserve"> conducted an extended study of unique beginner terms across the world</w:t>
      </w:r>
      <w:r>
        <w:t>’</w:t>
      </w:r>
      <w:r w:rsidRPr="00E2131F">
        <w:t>s languages. These terms, associated</w:t>
      </w:r>
      <w:r>
        <w:t xml:space="preserve"> with</w:t>
      </w:r>
      <w:r w:rsidRPr="00E2131F">
        <w:t xml:space="preserve"> the most inclusive level of ethnobiological classification,</w:t>
      </w:r>
      <w:r>
        <w:t xml:space="preserve"> are accorded </w:t>
      </w:r>
      <w:r w:rsidRPr="00E2131F">
        <w:t>special status by Berlin</w:t>
      </w:r>
      <w:r>
        <w:t xml:space="preserve"> </w:t>
      </w:r>
      <w:r>
        <w:rPr>
          <w:noProof/>
        </w:rPr>
        <w:t>(1973)</w:t>
      </w:r>
      <w:r w:rsidRPr="00E2131F">
        <w:t xml:space="preserve">, who claims that they are the last level of taxonomic hierarchy to emerge in the development of an ethnobiological lexicon. Urban found clear support for the assumed correlation between </w:t>
      </w:r>
      <w:r>
        <w:t>“</w:t>
      </w:r>
      <w:r w:rsidRPr="00E2131F">
        <w:t>traditional</w:t>
      </w:r>
      <w:r>
        <w:t>”</w:t>
      </w:r>
      <w:r w:rsidRPr="00E2131F">
        <w:t xml:space="preserve"> (</w:t>
      </w:r>
      <w:r>
        <w:t xml:space="preserve">i.e. </w:t>
      </w:r>
      <w:r w:rsidRPr="00E2131F">
        <w:t>small-scale hunter-gatherer, horticulturalist, or pastoralist) societies and the lack of terms for a unique beginner, and argues that named unique beginner ranks are most closely associated with agricultural groups. These findings carry with them implications about the relative hierarchical complexity of the ethnobiological lexicons of agriculturalist languages and hunter-gatherer languages.</w:t>
      </w:r>
      <w:r>
        <w:t xml:space="preserve"> Brown </w:t>
      </w:r>
      <w:r>
        <w:rPr>
          <w:noProof/>
        </w:rPr>
        <w:t>(2000)</w:t>
      </w:r>
      <w:r>
        <w:t xml:space="preserve"> also notes, following Berlin </w:t>
      </w:r>
      <w:r>
        <w:rPr>
          <w:noProof/>
        </w:rPr>
        <w:t>(1992)</w:t>
      </w:r>
      <w:r>
        <w:t>, that hunter-gather languages tend to have ‘flat’ ethnobiological nomenclature systems.</w:t>
      </w:r>
    </w:p>
    <w:p w:rsidR="00657426" w:rsidRPr="00E2131F" w:rsidRDefault="00657426" w:rsidP="00986537">
      <w:pPr>
        <w:pStyle w:val="Standard"/>
        <w:spacing w:line="480" w:lineRule="auto"/>
        <w:ind w:firstLine="720"/>
      </w:pPr>
      <w:r w:rsidRPr="00E2131F">
        <w:lastRenderedPageBreak/>
        <w:t xml:space="preserve">Another area in which the hierarchical organization of ethnobiological terms is claimed to differ across subsistence patterns is in the use of life-form terms in contrast to specific species terms. Authors </w:t>
      </w:r>
      <w:r>
        <w:rPr>
          <w:noProof/>
        </w:rPr>
        <w:t>(such as Brown et al. 1985)</w:t>
      </w:r>
      <w:r>
        <w:t xml:space="preserve"> </w:t>
      </w:r>
      <w:r w:rsidRPr="00E2131F">
        <w:t xml:space="preserve">place the locus of this variation on societal complexity, claiming that as language populations become larger and more complex, more speakers lose direct contact with their environment, requiring the use of more generalized terms. This predicts that certain flora/fauna terms should be more stable than others in different types of societies. Brown </w:t>
      </w:r>
      <w:r>
        <w:rPr>
          <w:noProof/>
        </w:rPr>
        <w:t>(1984)</w:t>
      </w:r>
      <w:r>
        <w:t xml:space="preserve"> </w:t>
      </w:r>
      <w:r w:rsidRPr="00E2131F">
        <w:t>also noted an effect of subsistence pattern on both the structure of plant and animal names and the</w:t>
      </w:r>
      <w:r>
        <w:t xml:space="preserve"> overall</w:t>
      </w:r>
      <w:r w:rsidRPr="00E2131F">
        <w:t xml:space="preserve"> size of ethnobiological taxonomies. Brown linked agriculturalist languages with larger flora/fauna lexicons and also found them more likely to employ binomial labels in naming plants and animals. According to Brown et al. (198</w:t>
      </w:r>
      <w:r>
        <w:t>5</w:t>
      </w:r>
      <w:r w:rsidRPr="00E2131F">
        <w:t xml:space="preserve">), </w:t>
      </w:r>
      <w:r>
        <w:t>these differences in</w:t>
      </w:r>
      <w:r w:rsidRPr="00E2131F">
        <w:t xml:space="preserve"> ethnobiological taxonomies can be explained by factors that render plants and animals more salient to agriculturalist cultures than hunter-gatherers, such as the creation of biodiversity through the transition to agriculture and the use of wild plants and animals to alleviate vulnerabilities of agriculturalist societies</w:t>
      </w:r>
      <w:r>
        <w:t>,</w:t>
      </w:r>
      <w:r w:rsidRPr="00E2131F">
        <w:t xml:space="preserve"> such as dr</w:t>
      </w:r>
      <w:r>
        <w:t>o</w:t>
      </w:r>
      <w:r w:rsidRPr="00E2131F">
        <w:t>ught and illness.</w:t>
      </w:r>
    </w:p>
    <w:p w:rsidR="00657426" w:rsidRDefault="00657426" w:rsidP="00986537">
      <w:pPr>
        <w:pStyle w:val="Standard"/>
        <w:spacing w:line="480" w:lineRule="auto"/>
        <w:ind w:firstLine="720"/>
      </w:pPr>
      <w:r w:rsidRPr="00E2131F">
        <w:t xml:space="preserve">While a great deal of the ethnobiological literature is concerned with the development and structure of taxonomies, the underlying question of the relative linguistic stability of flora and fauna terms has also emerged as an important area of study. </w:t>
      </w:r>
      <w:r>
        <w:t xml:space="preserve">Berlin et al.’s </w:t>
      </w:r>
      <w:r>
        <w:rPr>
          <w:noProof/>
        </w:rPr>
        <w:t>(1973)</w:t>
      </w:r>
      <w:r>
        <w:t xml:space="preserve"> </w:t>
      </w:r>
      <w:r w:rsidRPr="00E2131F">
        <w:t>comparative study of flora and fauna terms in</w:t>
      </w:r>
      <w:r>
        <w:t xml:space="preserve"> two related Maya languages, </w:t>
      </w:r>
      <w:proofErr w:type="spellStart"/>
      <w:r>
        <w:t>Tzeltal</w:t>
      </w:r>
      <w:proofErr w:type="spellEnd"/>
      <w:r>
        <w:t xml:space="preserve"> and </w:t>
      </w:r>
      <w:proofErr w:type="spellStart"/>
      <w:r>
        <w:t>Tzotzil</w:t>
      </w:r>
      <w:proofErr w:type="spellEnd"/>
      <w:r>
        <w:t xml:space="preserve">, </w:t>
      </w:r>
      <w:r w:rsidRPr="00E2131F">
        <w:t>investigate</w:t>
      </w:r>
      <w:r>
        <w:t>d</w:t>
      </w:r>
      <w:r w:rsidRPr="00E2131F">
        <w:t xml:space="preserve"> patterns in retention and replacement. Their results demonstrated a difference in retention rates between plants of varying levels of </w:t>
      </w:r>
      <w:r>
        <w:t xml:space="preserve">cultural significance, for which </w:t>
      </w:r>
      <w:r w:rsidRPr="00E2131F">
        <w:t>domestication</w:t>
      </w:r>
      <w:r>
        <w:t xml:space="preserve"> was a crucial factor</w:t>
      </w:r>
      <w:r w:rsidRPr="00E2131F">
        <w:t xml:space="preserve">. </w:t>
      </w:r>
      <w:r>
        <w:t xml:space="preserve">Similarly, </w:t>
      </w:r>
      <w:proofErr w:type="spellStart"/>
      <w:r w:rsidRPr="00E2131F">
        <w:t>Balée</w:t>
      </w:r>
      <w:proofErr w:type="spellEnd"/>
      <w:r w:rsidRPr="00E2131F">
        <w:t xml:space="preserve"> and Moore </w:t>
      </w:r>
      <w:r>
        <w:rPr>
          <w:noProof/>
        </w:rPr>
        <w:t>(1991)</w:t>
      </w:r>
      <w:r>
        <w:t xml:space="preserve"> conducted a comparative investigation of </w:t>
      </w:r>
      <w:r w:rsidRPr="00E2131F">
        <w:t xml:space="preserve">five Tupi-Guarani </w:t>
      </w:r>
      <w:r>
        <w:t xml:space="preserve">languages, with similar </w:t>
      </w:r>
      <w:r>
        <w:lastRenderedPageBreak/>
        <w:t>results; f</w:t>
      </w:r>
      <w:r w:rsidRPr="00E2131F">
        <w:t xml:space="preserve">ollowing Berlin et al. </w:t>
      </w:r>
      <w:r>
        <w:rPr>
          <w:noProof/>
        </w:rPr>
        <w:t>(1973)</w:t>
      </w:r>
      <w:r w:rsidRPr="00E2131F">
        <w:t>, they explain the positive association between degree of domestication and degree of retention as a consequence of the high cultural salience of cultivated items</w:t>
      </w:r>
      <w:r>
        <w:t>.</w:t>
      </w:r>
    </w:p>
    <w:p w:rsidR="00657426" w:rsidRPr="00E2131F" w:rsidRDefault="00657426" w:rsidP="00986537">
      <w:pPr>
        <w:pStyle w:val="Heading2"/>
        <w:spacing w:line="480" w:lineRule="auto"/>
      </w:pPr>
      <w:r>
        <w:t>Lexical stability and cultural salience</w:t>
      </w:r>
    </w:p>
    <w:p w:rsidR="00657426" w:rsidRDefault="00657426" w:rsidP="00986537">
      <w:pPr>
        <w:pStyle w:val="Standard"/>
        <w:spacing w:line="480" w:lineRule="auto"/>
      </w:pPr>
      <w:r>
        <w:t xml:space="preserve">Studies like that of Berlin et al. (1973) led to the now-prevalent view that the stability of ethnobiological items relates to their cultural salience. Discussion of salience in the anthropological literature has tended to revolve around notions of ranking and the number of taxonomic levels </w:t>
      </w:r>
      <w:r>
        <w:rPr>
          <w:noProof/>
        </w:rPr>
        <w:t>(e.g. Atran 1987; Atran 1998; see also Brown et al. 1986)</w:t>
      </w:r>
      <w:r>
        <w:t xml:space="preserve">, rather than determining the relative salience of plant and animal species as otherwise defined (see below). Nonetheless, cultural salience has been put forth as an important factor in the coding of plants and animals with lexical entries </w:t>
      </w:r>
      <w:r w:rsidRPr="00233EC2">
        <w:t>(Berlin, Boster, and O’Neill 1981)</w:t>
      </w:r>
      <w:r>
        <w:t xml:space="preserve"> and the retention of these plant and animal terms </w:t>
      </w:r>
      <w:r>
        <w:rPr>
          <w:noProof/>
        </w:rPr>
        <w:t>(Berlin, Breedlove, and Raven 1973)</w:t>
      </w:r>
      <w:r>
        <w:t>.</w:t>
      </w:r>
    </w:p>
    <w:p w:rsidR="00657426" w:rsidRDefault="00657426" w:rsidP="00986537">
      <w:pPr>
        <w:pStyle w:val="Standard"/>
        <w:spacing w:line="480" w:lineRule="auto"/>
        <w:ind w:firstLine="360"/>
      </w:pPr>
      <w:r>
        <w:t xml:space="preserve">The notion of cultural salience at the heart of this area of the literature is somewhat nebulous and sensitive to interpretation. Basic scales of cultural importance have been developed independently by several scholars to describe, rank, and sometimes even quantify this abstract variable. Most of these systems revolve around degrees of human interaction with a plant or animal </w:t>
      </w:r>
      <w:r>
        <w:rPr>
          <w:noProof/>
        </w:rPr>
        <w:t>(e.g. Turner 1974; Lee 1979)</w:t>
      </w:r>
      <w:r>
        <w:t xml:space="preserve">, types of human interaction with a particular species </w:t>
      </w:r>
      <w:r>
        <w:rPr>
          <w:noProof/>
        </w:rPr>
        <w:t>(e.g. Berlin, Breedlove, and Raven 1973)</w:t>
      </w:r>
      <w:r>
        <w:t xml:space="preserve">, or combinations of these </w:t>
      </w:r>
      <w:r>
        <w:rPr>
          <w:noProof/>
        </w:rPr>
        <w:t>(e.g. Turner 1988)</w:t>
      </w:r>
      <w:r>
        <w:t xml:space="preserve"> though more abstract systems such as </w:t>
      </w:r>
      <w:proofErr w:type="spellStart"/>
      <w:r>
        <w:t>Hunn’s</w:t>
      </w:r>
      <w:proofErr w:type="spellEnd"/>
      <w:r>
        <w:t xml:space="preserve"> </w:t>
      </w:r>
      <w:r>
        <w:rPr>
          <w:noProof/>
        </w:rPr>
        <w:t>(1982)</w:t>
      </w:r>
      <w:r>
        <w:t xml:space="preserve"> “</w:t>
      </w:r>
      <w:r w:rsidRPr="006E22F2">
        <w:t>activity signatures</w:t>
      </w:r>
      <w:r>
        <w:t>”</w:t>
      </w:r>
      <w:r w:rsidRPr="006E22F2">
        <w:rPr>
          <w:i/>
        </w:rPr>
        <w:t xml:space="preserve"> </w:t>
      </w:r>
      <w:r>
        <w:t>have also been proposed.</w:t>
      </w:r>
    </w:p>
    <w:p w:rsidR="00657426" w:rsidRDefault="00657426" w:rsidP="00986537">
      <w:pPr>
        <w:pStyle w:val="Standard"/>
        <w:spacing w:line="480" w:lineRule="auto"/>
        <w:ind w:firstLine="360"/>
      </w:pPr>
      <w:r>
        <w:t xml:space="preserve">Berlin et al.’s </w:t>
      </w:r>
      <w:r>
        <w:rPr>
          <w:noProof/>
        </w:rPr>
        <w:t>(1973)</w:t>
      </w:r>
      <w:r>
        <w:t xml:space="preserve"> scale of cultural salience is a basic classification system, assigning plant and animal species to a limited number of categories of increasing cultural </w:t>
      </w:r>
      <w:r>
        <w:lastRenderedPageBreak/>
        <w:t xml:space="preserve">importance. This scale divides species into cultivated, protected, wild but useful, and insignificant categories. While use certainly factors into this schema, the primary determinant of salience in the Berlin et al. system is the degree of human intervention in the production of a particular species. This contrasts with systems like the one proposed by Turner </w:t>
      </w:r>
      <w:r>
        <w:rPr>
          <w:noProof/>
        </w:rPr>
        <w:t>(1988)</w:t>
      </w:r>
      <w:r>
        <w:t xml:space="preserve">, who describes cultural salience in terms of use, broadly construed. Turner’s </w:t>
      </w:r>
      <w:r w:rsidRPr="00BD741E">
        <w:rPr>
          <w:i/>
        </w:rPr>
        <w:t>Index of Cultural Significance</w:t>
      </w:r>
      <w:r>
        <w:t xml:space="preserve"> is organized around a number of different types of resource use (including some categories that may not involve literal </w:t>
      </w:r>
      <w:r>
        <w:rPr>
          <w:i/>
        </w:rPr>
        <w:t>use</w:t>
      </w:r>
      <w:r>
        <w:t>, such as mythological significance, taboo, and mere recognition). These categories of use are ranked by relative contribution to survival, with food uses and materials outranking medicines, which in turn outrank ritual and recreational uses. To this scale of usage types, Turner adds measures of the intensity and exclusivity of use, resulting in a comprehensive and quantitative measure of an item’s cultural importance.</w:t>
      </w:r>
    </w:p>
    <w:p w:rsidR="00657426" w:rsidRDefault="00657426" w:rsidP="00986537">
      <w:pPr>
        <w:pStyle w:val="Standard"/>
        <w:spacing w:line="480" w:lineRule="auto"/>
        <w:ind w:firstLine="360"/>
      </w:pPr>
      <w:r>
        <w:t>The systems that have been developed to describe cultural salience primarily focus on ranking or quantifying the salience of individual plants or animals. However, the logical inference that there is a direct relationship between the degrees of salience as measured by these systems and lexical retention rates fails to account for other cultural and linguistic facts that are relevant to lexical borrowing. N</w:t>
      </w:r>
      <w:r w:rsidRPr="00E2131F">
        <w:t>ew technology</w:t>
      </w:r>
      <w:r>
        <w:t>, for example,</w:t>
      </w:r>
      <w:r w:rsidRPr="00E2131F">
        <w:t xml:space="preserve"> can be highly culturally salient but subject to </w:t>
      </w:r>
      <w:r>
        <w:t xml:space="preserve">linguistic innovation and </w:t>
      </w:r>
      <w:r w:rsidRPr="00E2131F">
        <w:t>renewal</w:t>
      </w:r>
      <w:r>
        <w:t>. F</w:t>
      </w:r>
      <w:r w:rsidRPr="00E2131F">
        <w:t>urthermore</w:t>
      </w:r>
      <w:r>
        <w:t>,</w:t>
      </w:r>
      <w:r w:rsidRPr="00E2131F">
        <w:t xml:space="preserve"> items </w:t>
      </w:r>
      <w:r>
        <w:t>that</w:t>
      </w:r>
      <w:r w:rsidRPr="00E2131F">
        <w:t xml:space="preserve"> are culturally salient can also be </w:t>
      </w:r>
      <w:r>
        <w:t>subject to cultural borrowing, which is frequently accompanied by lexical borrowing (e.g. psychotropic substances like hashish and coffee)</w:t>
      </w:r>
      <w:r w:rsidRPr="00E2131F">
        <w:t>.</w:t>
      </w:r>
      <w:r>
        <w:t xml:space="preserve"> Items of high cultural salience can be subject to linguistic taboo; dangerous animals, for example, can be both mythologically important and prized prey. See Emeneau </w:t>
      </w:r>
      <w:r>
        <w:rPr>
          <w:noProof/>
        </w:rPr>
        <w:t>(1948)</w:t>
      </w:r>
      <w:r>
        <w:t xml:space="preserve">, Simons </w:t>
      </w:r>
      <w:r>
        <w:rPr>
          <w:noProof/>
        </w:rPr>
        <w:t>(1981)</w:t>
      </w:r>
      <w:r>
        <w:t xml:space="preserve">, and Burridge </w:t>
      </w:r>
      <w:r>
        <w:rPr>
          <w:noProof/>
        </w:rPr>
        <w:t>(2012)</w:t>
      </w:r>
      <w:r>
        <w:t xml:space="preserve">, amongst others, for the phenomenon and its </w:t>
      </w:r>
      <w:r>
        <w:lastRenderedPageBreak/>
        <w:t>implications for reconstruction. Finally, culturally salient items are also subject to terminological specialization and differentiation. Terminological fragmentation (e.g. the appearance of many words for “cow” but no generic “cow” term in Maasai) does not have a positive effect on long-term linguistic stability, because it increases potential targets for semantic change. Thus, the relationship between salience and retention depends on broader cultural and historical contexts, and may vary among different domains of use. These issues have not been addressed in the previous literature on ethnobiological nomenclature, which takes an uncritical view of salience.</w:t>
      </w:r>
    </w:p>
    <w:p w:rsidR="00657426" w:rsidRDefault="00657426" w:rsidP="00986537">
      <w:pPr>
        <w:pStyle w:val="Standard"/>
        <w:spacing w:line="480" w:lineRule="auto"/>
        <w:ind w:firstLine="720"/>
      </w:pPr>
      <w:r>
        <w:t xml:space="preserve">The current study probes the relationship between salience and stability, and the variability within this relationship. We refine the notion of stability by studying both inheritance rates (that is, how frequently a word is </w:t>
      </w:r>
      <w:proofErr w:type="spellStart"/>
      <w:r>
        <w:t>etymologizable</w:t>
      </w:r>
      <w:proofErr w:type="spellEnd"/>
      <w:r>
        <w:t xml:space="preserve"> to a proto-language) and loan rates. We also track rates of ‘unique’ vocabulary (that is, terms without known etymologies). We refine the notion of ‘salience’ by separately testing retention and loan rates in flora and fauna vocabulary that might be considered salient (or not) for different reasons. We hypothesize that ethnobiological terms associated with survival uses are more likely to be stable; that is, to show fewer loan instances and for the terms to be more frequently assignable to a proto-language. We predict lower stability rates in flora/fauna items associated with tool use, in line with literature </w:t>
      </w:r>
      <w:r>
        <w:rPr>
          <w:noProof/>
        </w:rPr>
        <w:t>(e.g. Haspelmath and Tadmor 2009)</w:t>
      </w:r>
      <w:r>
        <w:t xml:space="preserve"> which points to greater loans in material culture. We also expect low stability in psychotropic plants because of their regional importance and importance for trade </w:t>
      </w:r>
      <w:r>
        <w:rPr>
          <w:noProof/>
        </w:rPr>
        <w:t>(see, for example, Sherratt 1995)</w:t>
      </w:r>
      <w:r>
        <w:t>. Finally, we predict that loan levels of traded items should be elevated. Results are discussed in section 4 below; as will be seen, some of these predictions are borne out while others, such as those to do with trade, are not.</w:t>
      </w:r>
    </w:p>
    <w:p w:rsidR="00657426" w:rsidRPr="00E2131F" w:rsidRDefault="00657426" w:rsidP="00986537">
      <w:pPr>
        <w:pStyle w:val="Standard"/>
        <w:spacing w:line="480" w:lineRule="auto"/>
        <w:ind w:firstLine="360"/>
      </w:pPr>
      <w:r>
        <w:lastRenderedPageBreak/>
        <w:t xml:space="preserve">We take a different approach in investigating differences between hunter-gatherer and agriculturalist ethnobiological lexicons than do authors such as Brown </w:t>
      </w:r>
      <w:r>
        <w:rPr>
          <w:noProof/>
        </w:rPr>
        <w:t>(2010)</w:t>
      </w:r>
      <w:r>
        <w:t>. We make no attempt to date changes. Rather, we investigate changes in the lexicon in terms of patterns of borrowing and inheritance as functions of flora/fauna type, geographic region, and subsistence pattern.</w:t>
      </w:r>
    </w:p>
    <w:p w:rsidR="00657426" w:rsidRPr="00E2131F" w:rsidRDefault="00657426" w:rsidP="00986537">
      <w:pPr>
        <w:pStyle w:val="Heading1"/>
        <w:spacing w:line="480" w:lineRule="auto"/>
      </w:pPr>
      <w:r w:rsidRPr="00E2131F">
        <w:t>Investigation into the Structure of Hunter-Gatherer Ethnobiological Systems</w:t>
      </w:r>
    </w:p>
    <w:p w:rsidR="00657426" w:rsidRPr="00E2131F" w:rsidRDefault="00657426" w:rsidP="00986537">
      <w:pPr>
        <w:pStyle w:val="Heading2"/>
        <w:spacing w:line="480" w:lineRule="auto"/>
      </w:pPr>
      <w:r w:rsidRPr="00E2131F">
        <w:t>Language Sampling</w:t>
      </w:r>
    </w:p>
    <w:p w:rsidR="00657426" w:rsidRDefault="00657426" w:rsidP="00986537">
      <w:pPr>
        <w:pStyle w:val="Standard"/>
        <w:spacing w:line="480" w:lineRule="auto"/>
      </w:pPr>
      <w:r>
        <w:t xml:space="preserve">For the current study flora and fauna terms were collected and coded for etymology in 130 languages in three study areas: Northern Australia, North America, and South America. This set of study areas parallels those used in other studies </w:t>
      </w:r>
      <w:r>
        <w:rPr>
          <w:noProof/>
        </w:rPr>
        <w:t>(Bowern et al. 2011)</w:t>
      </w:r>
      <w:r>
        <w:t>, and builds upon the set of basic vocabulary items gathered for that work in 105 of the sample languages. The selection of these study areas was based on several considerations. First, these regions are all home to numerous hunter-gatherer groups. The North and South American study areas also include agriculturalist languages, though this contrast in subsistence pattern is not available for Australia, where no indigenous agriculture existed. In addition to the geographic diversity introduced by sampling languages from three continents, these study areas also provide a high degree of linguistic diversity. At least 5 language families and 4 linguistic isolates are represented among the North American languages in the sample, 8 families and 2 isolates in South America, and 9 families in Australia. A map of the sample languages is given in Figure 1.</w:t>
      </w:r>
    </w:p>
    <w:p w:rsidR="00657426" w:rsidRDefault="00657426" w:rsidP="00986537">
      <w:pPr>
        <w:pStyle w:val="Standard"/>
        <w:spacing w:line="480" w:lineRule="auto"/>
      </w:pPr>
      <w:r>
        <w:lastRenderedPageBreak/>
        <w:tab/>
        <w:t>Practical considerations also make these three study areas suitable for this</w:t>
      </w:r>
      <w:r w:rsidRPr="00BF5BED">
        <w:t xml:space="preserve"> </w:t>
      </w:r>
      <w:r>
        <w:t>investigation. In each of these areas we were able to assemble sizeable samples of well-attested languages for which good documentation – and in particular good documentation of plant and animal terms – exists. Furthermore, the authors possess specialist knowledge about these three areas, which is crucial for the accurate etymological analysis of forms.</w:t>
      </w:r>
    </w:p>
    <w:p w:rsidR="00657426" w:rsidRDefault="00657426" w:rsidP="00986537">
      <w:pPr>
        <w:pStyle w:val="Standard"/>
        <w:spacing w:line="480" w:lineRule="auto"/>
      </w:pPr>
      <w:r>
        <w:tab/>
        <w:t>The Australian language sample comprises 52 languages from the Kimberley region, Arnhem Land, and Cape York Peninsula. Among these languages are members of the northernmost Pama-Nyungan subgroups as well as their non-Pama-Nyungan neighbors. All of the languages in this sample are associated with hunter-gatherer subsistence patterns.</w:t>
      </w:r>
    </w:p>
    <w:p w:rsidR="00657426" w:rsidRDefault="00657426" w:rsidP="00986537">
      <w:pPr>
        <w:pStyle w:val="Standard"/>
        <w:spacing w:line="480" w:lineRule="auto"/>
      </w:pPr>
      <w:r>
        <w:tab/>
        <w:t xml:space="preserve">The North American sample includes 46 languages of California and the Great Basin. This sample excludes languages north of the Sacramento River valley, which limits the ecological range of the study area and eliminates the influence of families such as </w:t>
      </w:r>
      <w:proofErr w:type="spellStart"/>
      <w:r>
        <w:t>Athabaskan</w:t>
      </w:r>
      <w:proofErr w:type="spellEnd"/>
      <w:r>
        <w:t xml:space="preserve"> and </w:t>
      </w:r>
      <w:proofErr w:type="spellStart"/>
      <w:r>
        <w:t>Algic</w:t>
      </w:r>
      <w:proofErr w:type="spellEnd"/>
      <w:r>
        <w:t xml:space="preserve">. Eight of the languages in the sample had speaker communities who practiced some cultivation of food plants. These are the Uto-Aztecan languages Cahuilla, Chemehuevi and Comanche, and the </w:t>
      </w:r>
      <w:proofErr w:type="spellStart"/>
      <w:r>
        <w:t>Yuman</w:t>
      </w:r>
      <w:proofErr w:type="spellEnd"/>
      <w:r>
        <w:t xml:space="preserve"> languages </w:t>
      </w:r>
      <w:proofErr w:type="spellStart"/>
      <w:r>
        <w:t>Cocopa</w:t>
      </w:r>
      <w:proofErr w:type="spellEnd"/>
      <w:r>
        <w:t>, ‘</w:t>
      </w:r>
      <w:proofErr w:type="spellStart"/>
      <w:r>
        <w:t>Iipay</w:t>
      </w:r>
      <w:proofErr w:type="spellEnd"/>
      <w:r>
        <w:t xml:space="preserve"> </w:t>
      </w:r>
      <w:proofErr w:type="spellStart"/>
      <w:r>
        <w:t>Aa</w:t>
      </w:r>
      <w:proofErr w:type="spellEnd"/>
      <w:r>
        <w:t xml:space="preserve">, Mojave, Yavapai, and Yuma. The remaining 38 languages were spoken by hunter-gatherers, although intensive management of wild plants has been recorded for these groups </w:t>
      </w:r>
      <w:r>
        <w:rPr>
          <w:noProof/>
        </w:rPr>
        <w:t>(Anderson 2005)</w:t>
      </w:r>
      <w:r>
        <w:t xml:space="preserve">.  </w:t>
      </w:r>
    </w:p>
    <w:p w:rsidR="00657426" w:rsidRDefault="00657426" w:rsidP="00986537">
      <w:pPr>
        <w:pStyle w:val="Standard"/>
        <w:spacing w:line="480" w:lineRule="auto"/>
      </w:pPr>
      <w:r>
        <w:tab/>
        <w:t>The South American language sample draws on 32 languages, the bulk of which are found in the northwest part of the Amazon basin. These languages are found in a region encompassing parts of Columbia, Peru, Ecuador, and Venezuela. A range of subsistence strategies is found in this study area, leading to a roughly equal division between languages spoken by peoples with a relative hunting-gathering</w:t>
      </w:r>
      <w:r w:rsidRPr="008366A9">
        <w:t xml:space="preserve"> </w:t>
      </w:r>
      <w:r>
        <w:t xml:space="preserve">focus, and those with a more </w:t>
      </w:r>
      <w:r>
        <w:lastRenderedPageBreak/>
        <w:t>agricultural orientation. Overall, two-thirds of the languages of the Americas in the sample come from hunter-gatherer groups.</w:t>
      </w:r>
    </w:p>
    <w:p w:rsidR="00657426" w:rsidRDefault="00657426" w:rsidP="00986537">
      <w:pPr>
        <w:pStyle w:val="Standard"/>
        <w:spacing w:line="480" w:lineRule="auto"/>
        <w:ind w:firstLine="720"/>
      </w:pPr>
      <w:r>
        <w:t xml:space="preserve"> Lexical items were retrieved from dictionaries where available, supplemented by grammatical descriptions and archived field notes as needed.</w:t>
      </w:r>
      <w:r>
        <w:rPr>
          <w:rStyle w:val="EndnoteReference"/>
        </w:rPr>
        <w:endnoteReference w:id="2"/>
      </w:r>
      <w:r>
        <w:t xml:space="preserve"> Sources for lexical items are listed in the supplementary materials. Terms were reconstructed using the comparative method </w:t>
      </w:r>
      <w:r>
        <w:rPr>
          <w:noProof/>
        </w:rPr>
        <w:t>(Hock and Joseph 1996)</w:t>
      </w:r>
      <w:r>
        <w:t xml:space="preserve"> coded for etymology in the manner described in Bowern et al. </w:t>
      </w:r>
      <w:r>
        <w:rPr>
          <w:noProof/>
        </w:rPr>
        <w:t>(2011)</w:t>
      </w:r>
      <w:r>
        <w:t>. This coding scheme created a basic division between four categories: loaned, inherited, unique, and semantic shift. The loaned items category includes those items identified as loans, where the loan has occurred after the split of the containing language from its nearest neighbor. In other words, loans into a proto-language are not counted as loans in all descendent languages that contain reflexes. Inherited items are classified as those that can be reconstructed to an earlier stage of the language with the same meaning. Words that can be reconstructed to an earlier stage of the language with a different meaning are classified as instances of semantic shift. Finally, unique terms are those that have no identifiable source internally or in any neighboring languages. This category contains words replaced through various word formation processes outside the focus of this study.</w:t>
      </w:r>
    </w:p>
    <w:p w:rsidR="00657426" w:rsidRDefault="00657426" w:rsidP="00986537">
      <w:pPr>
        <w:pStyle w:val="Standard"/>
        <w:spacing w:line="480" w:lineRule="auto"/>
      </w:pPr>
      <w:r>
        <w:tab/>
        <w:t xml:space="preserve">In South America but also to a certain extent in North America, the etymological coding is complicated by the nature of the linguistic sample and the availability of information about linguistic relationships. Both of these case study areas contain many small language families, and particularly in South America existing work on historical reconstruction is in some cases inadequate. These factors limit our own application of the comparative method in coding inheritances and borrowings in certain cases. Thus, it is </w:t>
      </w:r>
      <w:r>
        <w:lastRenderedPageBreak/>
        <w:t>possible that we have failed to identify all loans among genetically related languages in these study areas. However, this weakness is neutralized somewhat by the fact that many of the contact situations in Amazonia, and to a lesser extent North America, take place across language families. Additionally, we have compared across many languages not included in the immediate sample, which further raises the likelihood of loan detection. For example, the 32 South American languages have been compared systematically against more than 65 other languages from the same and surrounding regions.</w:t>
      </w:r>
    </w:p>
    <w:p w:rsidR="00657426" w:rsidRDefault="00657426" w:rsidP="00986537">
      <w:pPr>
        <w:pStyle w:val="Standard"/>
        <w:spacing w:line="480" w:lineRule="auto"/>
        <w:ind w:firstLine="720"/>
      </w:pPr>
    </w:p>
    <w:p w:rsidR="00657426" w:rsidRDefault="00657426" w:rsidP="00986537">
      <w:pPr>
        <w:pStyle w:val="Standard"/>
        <w:spacing w:line="480" w:lineRule="auto"/>
        <w:ind w:firstLine="720"/>
      </w:pPr>
    </w:p>
    <w:p w:rsidR="00657426" w:rsidRDefault="00657426" w:rsidP="00986537">
      <w:pPr>
        <w:pStyle w:val="Standard"/>
        <w:keepNext/>
        <w:spacing w:line="480" w:lineRule="auto"/>
        <w:ind w:firstLine="720"/>
      </w:pPr>
      <w:r w:rsidRPr="00D90D3C">
        <w:rPr>
          <w:noProof/>
        </w:rPr>
        <w:drawing>
          <wp:inline distT="0" distB="0" distL="0" distR="0">
            <wp:extent cx="5486400" cy="2397760"/>
            <wp:effectExtent l="0" t="0" r="0" b="0"/>
            <wp:docPr id="11" name="Picture 10" descr="Study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tudyAreas.jpg"/>
                    <pic:cNvPicPr>
                      <a:picLocks noChangeAspect="1"/>
                    </pic:cNvPicPr>
                  </pic:nvPicPr>
                  <pic:blipFill>
                    <a:blip r:embed="rId8"/>
                    <a:srcRect t="14011" b="18441"/>
                    <a:stretch>
                      <a:fillRect/>
                    </a:stretch>
                  </pic:blipFill>
                  <pic:spPr>
                    <a:xfrm>
                      <a:off x="0" y="0"/>
                      <a:ext cx="5486400" cy="2397760"/>
                    </a:xfrm>
                    <a:prstGeom prst="rect">
                      <a:avLst/>
                    </a:prstGeom>
                  </pic:spPr>
                </pic:pic>
              </a:graphicData>
            </a:graphic>
          </wp:inline>
        </w:drawing>
      </w:r>
    </w:p>
    <w:p w:rsidR="00657426" w:rsidRPr="00E2131F" w:rsidRDefault="00657426" w:rsidP="00986537">
      <w:pPr>
        <w:pStyle w:val="Caption"/>
        <w:spacing w:line="480" w:lineRule="auto"/>
      </w:pPr>
      <w:r>
        <w:t xml:space="preserve">Figure </w:t>
      </w:r>
      <w:r w:rsidR="00590C4E">
        <w:fldChar w:fldCharType="begin"/>
      </w:r>
      <w:r w:rsidR="0083600B">
        <w:instrText xml:space="preserve"> SEQ Figure \* ARABIC </w:instrText>
      </w:r>
      <w:r w:rsidR="00590C4E">
        <w:fldChar w:fldCharType="separate"/>
      </w:r>
      <w:r w:rsidR="00367B50">
        <w:rPr>
          <w:noProof/>
        </w:rPr>
        <w:t>1</w:t>
      </w:r>
      <w:r w:rsidR="00590C4E">
        <w:rPr>
          <w:noProof/>
        </w:rPr>
        <w:fldChar w:fldCharType="end"/>
      </w:r>
      <w:r>
        <w:t>: Case Study Areas and Languages</w:t>
      </w:r>
    </w:p>
    <w:p w:rsidR="00657426" w:rsidRDefault="00657426" w:rsidP="00986537">
      <w:pPr>
        <w:pStyle w:val="Heading2"/>
        <w:spacing w:line="480" w:lineRule="auto"/>
      </w:pPr>
      <w:r w:rsidRPr="00E2131F">
        <w:t>Flora/Fauna Sampling</w:t>
      </w:r>
    </w:p>
    <w:p w:rsidR="00657426" w:rsidRPr="00E2131F" w:rsidRDefault="00657426" w:rsidP="00986537">
      <w:pPr>
        <w:pStyle w:val="Standard"/>
        <w:spacing w:line="480" w:lineRule="auto"/>
      </w:pPr>
      <w:r>
        <w:t xml:space="preserve">Work such as Berlin’s </w:t>
      </w:r>
      <w:r>
        <w:rPr>
          <w:noProof/>
        </w:rPr>
        <w:t>(1992)</w:t>
      </w:r>
      <w:r w:rsidRPr="00E2131F">
        <w:t xml:space="preserve"> has focused on languages with fairly complete ethnobiological descriptions. This approach is of limited application, however. First, the relevant data simply do not exist for many languages of the world. For those that do have published lexical materials, there is often no way to evaluate the quality and accuracy of description of </w:t>
      </w:r>
      <w:r w:rsidRPr="00E2131F">
        <w:lastRenderedPageBreak/>
        <w:t>flora and fauna nomenclature</w:t>
      </w:r>
      <w:r>
        <w:t>, since most linguists’ biological training is very limited. For</w:t>
      </w:r>
      <w:r w:rsidRPr="00E2131F">
        <w:t xml:space="preserve"> the many hunter-gatherer languages </w:t>
      </w:r>
      <w:r>
        <w:t>that</w:t>
      </w:r>
      <w:r w:rsidRPr="00E2131F">
        <w:t xml:space="preserve"> have become extinct over the last hundred years, there is no possibility for eithe</w:t>
      </w:r>
      <w:r>
        <w:t>r gaining more information or, in most cases,</w:t>
      </w:r>
      <w:r w:rsidRPr="00E2131F">
        <w:t xml:space="preserve"> evaluating the </w:t>
      </w:r>
      <w:r>
        <w:t xml:space="preserve">ethnobiological information recorded in </w:t>
      </w:r>
      <w:r w:rsidRPr="00E2131F">
        <w:t xml:space="preserve">existing materials. </w:t>
      </w:r>
      <w:r>
        <w:t>Shifts in human experience and the loss of biological diversity in the 20</w:t>
      </w:r>
      <w:r w:rsidRPr="00785B0A">
        <w:rPr>
          <w:vertAlign w:val="superscript"/>
        </w:rPr>
        <w:t>th</w:t>
      </w:r>
      <w:r>
        <w:t xml:space="preserve"> century have led to rapid loss of flora and fauna knowledge in North America </w:t>
      </w:r>
      <w:r>
        <w:rPr>
          <w:noProof/>
        </w:rPr>
        <w:t>(Nabhan and St Antoine 1993)</w:t>
      </w:r>
      <w:r>
        <w:t>, and a similar situation can be expected in Australia and South America. The chance of finding the requisite data in</w:t>
      </w:r>
      <w:r w:rsidRPr="00E2131F">
        <w:t xml:space="preserve"> dense</w:t>
      </w:r>
      <w:r>
        <w:t xml:space="preserve"> language samples for the areas under study is nearly zero</w:t>
      </w:r>
      <w:r w:rsidRPr="00E2131F">
        <w:t xml:space="preserve">. </w:t>
      </w:r>
      <w:r>
        <w:t>Dense coverage is required</w:t>
      </w:r>
      <w:r w:rsidRPr="00E2131F">
        <w:t xml:space="preserve"> to study loan interaction, but appropria</w:t>
      </w:r>
      <w:r>
        <w:t xml:space="preserve">te datasets do not exist and cannot now be created. </w:t>
      </w:r>
    </w:p>
    <w:p w:rsidR="00657426" w:rsidRDefault="00657426" w:rsidP="00986537">
      <w:pPr>
        <w:pStyle w:val="Standard"/>
        <w:spacing w:line="480" w:lineRule="auto"/>
        <w:ind w:firstLine="720"/>
      </w:pPr>
      <w:r w:rsidRPr="004922C0">
        <w:t xml:space="preserve">In this research we have taken a different approach. Rather than attempt to exhaustively sample from the flora/fauna domain, we </w:t>
      </w:r>
      <w:r>
        <w:t>surveyed</w:t>
      </w:r>
      <w:r w:rsidRPr="004922C0">
        <w:t xml:space="preserve"> approximately 125 terms for common </w:t>
      </w:r>
      <w:r>
        <w:t>items</w:t>
      </w:r>
      <w:r w:rsidRPr="004922C0">
        <w:t xml:space="preserve"> within each of the areas under study. </w:t>
      </w:r>
      <w:r>
        <w:t xml:space="preserve">The survey terms are balanced among orders and taxa within each area, </w:t>
      </w:r>
      <w:r w:rsidRPr="004922C0">
        <w:t xml:space="preserve">and were sampled for a range of sizes, functions, cultivation status, and salience. </w:t>
      </w:r>
      <w:r>
        <w:t>The lists included both life-form (“bird”, “tree”, etc.) and species terms to allow some investigation of claims of stability in different hierarchical levels of ethnobiological nomenclature.</w:t>
      </w:r>
      <w:r>
        <w:rPr>
          <w:rStyle w:val="EndnoteReference"/>
        </w:rPr>
        <w:endnoteReference w:id="3"/>
      </w:r>
      <w:r>
        <w:t xml:space="preserve"> </w:t>
      </w:r>
      <w:r w:rsidRPr="004922C0">
        <w:t>Term lists were also roughly matched</w:t>
      </w:r>
      <w:r>
        <w:t xml:space="preserve"> </w:t>
      </w:r>
      <w:r w:rsidRPr="004922C0">
        <w:t xml:space="preserve">between case study </w:t>
      </w:r>
      <w:r>
        <w:t xml:space="preserve">areas, </w:t>
      </w:r>
      <w:r w:rsidRPr="004922C0">
        <w:t xml:space="preserve">to allow for comparison between areas </w:t>
      </w:r>
      <w:r>
        <w:t>that</w:t>
      </w:r>
      <w:r w:rsidRPr="004922C0">
        <w:t xml:space="preserve"> have very little overlap in precise species</w:t>
      </w:r>
      <w:r>
        <w:t>; that is, similar numbers of terms within each life-form designation were studied for each area</w:t>
      </w:r>
      <w:r w:rsidRPr="004922C0">
        <w:t>.</w:t>
      </w:r>
      <w:r>
        <w:t xml:space="preserve"> The use of species rather than varietals in the list of terms allowed for better comparison across study areas. We allowed very limited substitutions for closely related species and varietals to further increase the comparability of forms across study areas.</w:t>
      </w:r>
      <w:r>
        <w:rPr>
          <w:rStyle w:val="EndnoteReference"/>
        </w:rPr>
        <w:endnoteReference w:id="4"/>
      </w:r>
    </w:p>
    <w:p w:rsidR="00657426" w:rsidRDefault="00657426" w:rsidP="00986537">
      <w:pPr>
        <w:pStyle w:val="Standard"/>
        <w:spacing w:line="480" w:lineRule="auto"/>
        <w:ind w:firstLine="720"/>
      </w:pPr>
      <w:r>
        <w:lastRenderedPageBreak/>
        <w:t>Overall, the set of items used for this study includes 100 flora and 285 fauna terms. 129 of these terms are relevant for Australia, including 22 flora terms; 122 total terms apply in the North American study area, including 32 flora terms; and 138 of these items are found in South America, including 46 flora terms. The balance between flora and fauna was affected by overall availability of reliable data for these items, but the composition of the lexical sample is offset by the care we have taken to balance the list among taxa and compare patterns within flora and fauna subsets.</w:t>
      </w:r>
      <w:r>
        <w:rPr>
          <w:rStyle w:val="EndnoteReference"/>
        </w:rPr>
        <w:endnoteReference w:id="5"/>
      </w:r>
      <w:r>
        <w:t xml:space="preserve"> </w:t>
      </w:r>
    </w:p>
    <w:p w:rsidR="00657426" w:rsidRDefault="00657426" w:rsidP="00986537">
      <w:pPr>
        <w:pStyle w:val="Standard"/>
        <w:spacing w:line="480" w:lineRule="auto"/>
        <w:ind w:firstLine="720"/>
      </w:pPr>
      <w:r>
        <w:t xml:space="preserve">Terms were coded for use category, size of item, flora/fauna subdomain (e.g. mammal, reptile), and whether they are life-form terms.  The “use” category coding classified each term as belonging to or not belonging to several categories associated with our hypotheses about use, salience, and lexical replacement. These categories are: dangerous items, domesticated items, eaten items, medicinal items, items of mythological or ritual importance, psychotropic substances, and traded items. Several of these categories---specifically eaten, medicinal, and dangerous items---derive varying levels of cultural salience from their survival functions. Other categories, such as mythological or psychotropic items, are salient for other reasons that may impact the likelihood of their replacement. These reasons include their centrality to the cultures concerned and their importance for regional interactions. The domesticated items category, in addition to its expected cultural salience, relates directly to subsistence activities. Finally, the economic function of trade items may endow them with cultural significance, but the importance of this category is also related to the hypothesis that trade itself is likely to influence loan rates, because of the interaction across groups that it entails. Coding for these uses was performed using specific information from ethnographic materials, where available, and </w:t>
      </w:r>
      <w:r>
        <w:lastRenderedPageBreak/>
        <w:t>generalized from available sources when no specific ethnographic descriptions of a particular item’s use in a particular culture were available.</w:t>
      </w:r>
    </w:p>
    <w:p w:rsidR="00657426" w:rsidRPr="00E2131F" w:rsidRDefault="00657426" w:rsidP="00986537">
      <w:pPr>
        <w:pStyle w:val="Standard"/>
        <w:spacing w:line="480" w:lineRule="auto"/>
      </w:pPr>
      <w:r>
        <w:tab/>
        <w:t>Effects of ethnobiological nomenclature hierarchies on item names were largely ignored in the creation of our dataset. We did not control for whether a language uses a varietal or specific term for a particular item in the list. Rather, we used the most common term that is used for that item. We recognize that this has the potential to introduce inconsistencies, but our data lack enough specificity to resolve these matters completely. We are also unable to account for under-differentiation and over-differentiation, because few terms for closely related species are included in our list. However, this is unlikely to affect our results.</w:t>
      </w:r>
    </w:p>
    <w:p w:rsidR="00657426" w:rsidRPr="00E2131F" w:rsidRDefault="00657426" w:rsidP="00986537">
      <w:pPr>
        <w:pStyle w:val="Heading2"/>
        <w:spacing w:line="480" w:lineRule="auto"/>
      </w:pPr>
      <w:r>
        <w:t>Statistical Methods</w:t>
      </w:r>
    </w:p>
    <w:p w:rsidR="00657426" w:rsidRDefault="00657426" w:rsidP="00986537">
      <w:pPr>
        <w:pStyle w:val="Standard"/>
        <w:spacing w:line="480" w:lineRule="auto"/>
      </w:pPr>
      <w:r>
        <w:t>All s</w:t>
      </w:r>
      <w:r w:rsidRPr="007F73B8">
        <w:t xml:space="preserve">tatistical analyses were performed using R 2.13.1 Statistical Software. </w:t>
      </w:r>
      <w:r>
        <w:t xml:space="preserve">A simple linear regression was used to test the correlation between basic vocabulary and flora/fauna loan rates. Because etymological patterns vary substantially by region and by language family – a pattern qualitatively evident in the data and confirmed by an ANOVA test – and because the purpose of this study is to examine patterns across all three regions, we used GLMM’s (generalized linear mixed models, computed using the package </w:t>
      </w:r>
      <w:proofErr w:type="spellStart"/>
      <w:r>
        <w:rPr>
          <w:i/>
        </w:rPr>
        <w:t>nlme</w:t>
      </w:r>
      <w:proofErr w:type="spellEnd"/>
      <w:r>
        <w:t xml:space="preserve"> </w:t>
      </w:r>
      <w:r>
        <w:rPr>
          <w:noProof/>
        </w:rPr>
        <w:t>(Pinheiro et al. 2012)</w:t>
      </w:r>
      <w:r>
        <w:t xml:space="preserve">) to test the significance of etymological patterns. As such, all linear models had case study area as a random effect, and the analyses in Section 4.1 also had language family nested as a random effect within the case study areas. Finally, to satisfy the requirement of a linear model, all etymology proportions were increased by 0.01 and log-transformed. </w:t>
      </w:r>
    </w:p>
    <w:p w:rsidR="00657426" w:rsidRDefault="00657426" w:rsidP="00986537">
      <w:pPr>
        <w:pStyle w:val="Heading1"/>
        <w:suppressAutoHyphens w:val="0"/>
        <w:autoSpaceDE w:val="0"/>
        <w:adjustRightInd w:val="0"/>
        <w:spacing w:line="480" w:lineRule="auto"/>
        <w:ind w:left="432" w:hanging="432"/>
        <w:textAlignment w:val="auto"/>
      </w:pPr>
      <w:r>
        <w:lastRenderedPageBreak/>
        <w:t>Results</w:t>
      </w:r>
    </w:p>
    <w:p w:rsidR="00657426" w:rsidRDefault="00657426" w:rsidP="00986537">
      <w:pPr>
        <w:pStyle w:val="Heading2"/>
        <w:suppressAutoHyphens w:val="0"/>
        <w:autoSpaceDE w:val="0"/>
        <w:adjustRightInd w:val="0"/>
        <w:spacing w:line="480" w:lineRule="auto"/>
        <w:ind w:left="576" w:hanging="576"/>
        <w:textAlignment w:val="auto"/>
      </w:pPr>
      <w:r>
        <w:t>Loan rates among languages</w:t>
      </w:r>
    </w:p>
    <w:p w:rsidR="00657426" w:rsidRDefault="00657426" w:rsidP="00986537">
      <w:pPr>
        <w:spacing w:line="480" w:lineRule="auto"/>
      </w:pPr>
      <w:r>
        <w:t xml:space="preserve">Loan rates in flora/fauna vocabulary are nearly always significantly higher than those in basic vocabulary in the same languages </w:t>
      </w:r>
      <w:r>
        <w:rPr>
          <w:noProof/>
        </w:rPr>
        <w:t>(Bowern et al. 2011)</w:t>
      </w:r>
      <w:r>
        <w:t xml:space="preserve">. This is as expected given cross-linguistic tendencies for differences in loan rates across semantic domains </w:t>
      </w:r>
      <w:r>
        <w:rPr>
          <w:noProof/>
        </w:rPr>
        <w:t>(e.g. Hock and Joseph 1996:261)</w:t>
      </w:r>
      <w:r>
        <w:t>. Loan rates in basic vocabulary and flora/fauna are strongly correlated (r = 0.7, p &lt; 0.001), implying that the same social processes might be at work in both domains (see Section 5.1 below, however, for further discussion). Figure 2 plots loans in 204 words of basic vocabulary and the loan rates in flora/fauna vocabulary for each of the languages in the case study. Comparison of the curves of loan frequencies across case study areas also indicates a high degree of similarity between basic vocabulary and flora/fauna vocabulary.</w:t>
      </w:r>
      <w:r>
        <w:rPr>
          <w:rStyle w:val="EndnoteReference"/>
        </w:rPr>
        <w:endnoteReference w:id="6"/>
      </w:r>
    </w:p>
    <w:p w:rsidR="00657426" w:rsidRDefault="00657426" w:rsidP="00986537">
      <w:pPr>
        <w:spacing w:line="480" w:lineRule="auto"/>
        <w:ind w:firstLine="720"/>
      </w:pPr>
      <w:r>
        <w:t xml:space="preserve">A few languages had higher loan rates in basic vocabulary than in flora/fauna. Notable exceptions to loan rate tendencies described above </w:t>
      </w:r>
      <w:r w:rsidRPr="00D008EE">
        <w:t xml:space="preserve">include </w:t>
      </w:r>
      <w:r>
        <w:t xml:space="preserve">Ritharrngu (where the flora/fauna loan count is 7%, but basic vocabulary is at 20%) and </w:t>
      </w:r>
      <w:r w:rsidRPr="00D008EE">
        <w:t>Burarra (</w:t>
      </w:r>
      <w:r>
        <w:t>3.8% flora/fauna, 11.5% basic vocabulary</w:t>
      </w:r>
      <w:r w:rsidRPr="00D008EE">
        <w:t>)</w:t>
      </w:r>
      <w:r>
        <w:t>. In both languages the loan rates for basic vocabulary are substantially higher than for flora/fauna terms. It is not known at this stage what might be the cause of exceptions to the trends. It is notable, however, that the few languages with sizable discrepancies between basic vocabulary and flora/fauna borrowings are from the Australian case study area, and most are spoken in Arnhem Land.</w:t>
      </w:r>
      <w:r>
        <w:rPr>
          <w:rStyle w:val="EndnoteReference"/>
        </w:rPr>
        <w:endnoteReference w:id="7"/>
      </w:r>
    </w:p>
    <w:p w:rsidR="00657426" w:rsidRDefault="00657426" w:rsidP="00986537">
      <w:pPr>
        <w:spacing w:line="480" w:lineRule="auto"/>
        <w:ind w:firstLine="720"/>
      </w:pPr>
      <w:r>
        <w:t xml:space="preserve">There are two outlier languages in North America (Bankalachi-Toloim and Tübatulabal) and three in Australia, all from the Ngumpin-Yapa subgroup of </w:t>
      </w:r>
      <w:proofErr w:type="spellStart"/>
      <w:r>
        <w:t>Pama-Nyungan</w:t>
      </w:r>
      <w:proofErr w:type="spellEnd"/>
      <w:r>
        <w:t xml:space="preserve"> </w:t>
      </w:r>
      <w:r>
        <w:lastRenderedPageBreak/>
        <w:t>(</w:t>
      </w:r>
      <w:proofErr w:type="spellStart"/>
      <w:r>
        <w:t>Gurindji</w:t>
      </w:r>
      <w:proofErr w:type="spellEnd"/>
      <w:r>
        <w:t xml:space="preserve">, </w:t>
      </w:r>
      <w:proofErr w:type="spellStart"/>
      <w:r>
        <w:t>Jaru</w:t>
      </w:r>
      <w:proofErr w:type="spellEnd"/>
      <w:r>
        <w:t xml:space="preserve">, and </w:t>
      </w:r>
      <w:proofErr w:type="spellStart"/>
      <w:r>
        <w:t>Walmajarri</w:t>
      </w:r>
      <w:proofErr w:type="spellEnd"/>
      <w:r>
        <w:t xml:space="preserve">), where loan rates are exceptionally high in both flora/fauna and in basic vocabulary. </w:t>
      </w:r>
    </w:p>
    <w:p w:rsidR="00657426" w:rsidRDefault="00657426" w:rsidP="00986537">
      <w:pPr>
        <w:spacing w:line="480" w:lineRule="auto"/>
        <w:ind w:firstLine="720"/>
      </w:pPr>
    </w:p>
    <w:p w:rsidR="00657426" w:rsidRDefault="00657426" w:rsidP="00677ADE">
      <w:pPr>
        <w:keepNext/>
        <w:spacing w:line="480" w:lineRule="auto"/>
      </w:pPr>
      <w:r>
        <w:rPr>
          <w:noProof/>
        </w:rPr>
        <w:drawing>
          <wp:inline distT="0" distB="0" distL="0" distR="0">
            <wp:extent cx="5486400" cy="3185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 vs FF all langs.pd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3185795"/>
                    </a:xfrm>
                    <a:prstGeom prst="rect">
                      <a:avLst/>
                    </a:prstGeom>
                  </pic:spPr>
                </pic:pic>
              </a:graphicData>
            </a:graphic>
          </wp:inline>
        </w:drawing>
      </w:r>
    </w:p>
    <w:p w:rsidR="00657426" w:rsidRDefault="00657426" w:rsidP="00677ADE">
      <w:pPr>
        <w:pStyle w:val="Caption"/>
      </w:pPr>
      <w:r>
        <w:t xml:space="preserve">Figure </w:t>
      </w:r>
      <w:r w:rsidR="00590C4E">
        <w:fldChar w:fldCharType="begin"/>
      </w:r>
      <w:r w:rsidR="0083600B">
        <w:instrText xml:space="preserve"> SEQ Figure \* ARABIC </w:instrText>
      </w:r>
      <w:r w:rsidR="00590C4E">
        <w:fldChar w:fldCharType="separate"/>
      </w:r>
      <w:r w:rsidR="00367B50">
        <w:rPr>
          <w:noProof/>
        </w:rPr>
        <w:t>2</w:t>
      </w:r>
      <w:r w:rsidR="00590C4E">
        <w:rPr>
          <w:noProof/>
        </w:rPr>
        <w:fldChar w:fldCharType="end"/>
      </w:r>
      <w:r>
        <w:t xml:space="preserve"> Loan rates by language</w:t>
      </w:r>
    </w:p>
    <w:p w:rsidR="00657426" w:rsidRDefault="00657426" w:rsidP="00986537">
      <w:pPr>
        <w:spacing w:line="480" w:lineRule="auto"/>
      </w:pPr>
    </w:p>
    <w:p w:rsidR="00657426" w:rsidRDefault="00657426" w:rsidP="00986537">
      <w:pPr>
        <w:spacing w:line="480" w:lineRule="auto"/>
        <w:ind w:firstLine="720"/>
      </w:pPr>
      <w:r>
        <w:t>Because loan rates differ by case study region (ANOVA, p = 0.003), with higher rates in Australia and lower rates in Amazonia, as well as by language family (ANOVA, p = 0.006), all subsequent analyses were computed using a linear mixed model with case study region and language family as nested random effects. That is, we first controlled for variation in case study area and language family before looking at any other potential source of variation.</w:t>
      </w:r>
    </w:p>
    <w:p w:rsidR="00657426" w:rsidRDefault="00657426" w:rsidP="00986537">
      <w:pPr>
        <w:spacing w:line="480" w:lineRule="auto"/>
      </w:pPr>
      <w:r>
        <w:tab/>
        <w:t xml:space="preserve">With those controls in mind, hunter-gatherer communities show significantly higher loan rates compared to agriculturalists (GLMM, p &lt; 0.0001), as well as higher levels of unique items (GLMM, p = 0.0154) and lower levels of inherited items (GLMM, p = 0.0251). </w:t>
      </w:r>
      <w:r>
        <w:lastRenderedPageBreak/>
        <w:t>‘Unique’ items refers to words without traceable etymology. Note that while one might ascribe these results to hunter-gatherer languages being relatively understudied historically (and therefore with fewer etymologies available), it is not the case that hunter-gatherer languages in our case study regions are less well attested than the agriculturalist languages.</w:t>
      </w:r>
      <w:r>
        <w:rPr>
          <w:rStyle w:val="EndnoteReference"/>
        </w:rPr>
        <w:endnoteReference w:id="8"/>
      </w:r>
      <w:r>
        <w:t xml:space="preserve"> </w:t>
      </w:r>
    </w:p>
    <w:p w:rsidR="00657426" w:rsidRDefault="00657426" w:rsidP="00986537">
      <w:pPr>
        <w:spacing w:line="480" w:lineRule="auto"/>
      </w:pPr>
    </w:p>
    <w:p w:rsidR="00657426" w:rsidRDefault="00657426" w:rsidP="00986537">
      <w:pPr>
        <w:keepNext/>
        <w:spacing w:line="480" w:lineRule="auto"/>
        <w:jc w:val="center"/>
      </w:pPr>
      <w:r>
        <w:rPr>
          <w:noProof/>
        </w:rPr>
        <w:drawing>
          <wp:inline distT="0" distB="0" distL="0" distR="0">
            <wp:extent cx="3310467" cy="3310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loans by CSA.pd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10467" cy="3310467"/>
                    </a:xfrm>
                    <a:prstGeom prst="rect">
                      <a:avLst/>
                    </a:prstGeom>
                  </pic:spPr>
                </pic:pic>
              </a:graphicData>
            </a:graphic>
          </wp:inline>
        </w:drawing>
      </w:r>
    </w:p>
    <w:p w:rsidR="00657426" w:rsidRDefault="00657426" w:rsidP="00986537">
      <w:pPr>
        <w:pStyle w:val="Caption"/>
        <w:spacing w:line="480" w:lineRule="auto"/>
        <w:jc w:val="center"/>
      </w:pPr>
      <w:r>
        <w:t xml:space="preserve">Figure </w:t>
      </w:r>
      <w:r w:rsidR="00590C4E">
        <w:fldChar w:fldCharType="begin"/>
      </w:r>
      <w:r w:rsidR="0083600B">
        <w:instrText xml:space="preserve"> SEQ Figure \* ARABIC </w:instrText>
      </w:r>
      <w:r w:rsidR="00590C4E">
        <w:fldChar w:fldCharType="separate"/>
      </w:r>
      <w:r w:rsidR="00367B50">
        <w:rPr>
          <w:noProof/>
        </w:rPr>
        <w:t>3</w:t>
      </w:r>
      <w:r w:rsidR="00590C4E">
        <w:rPr>
          <w:noProof/>
        </w:rPr>
        <w:fldChar w:fldCharType="end"/>
      </w:r>
      <w:r>
        <w:t xml:space="preserve"> Loan frequencies for languages, grouped by Case Study Areas</w:t>
      </w:r>
    </w:p>
    <w:p w:rsidR="00657426" w:rsidRDefault="00657426" w:rsidP="00986537">
      <w:pPr>
        <w:spacing w:line="480" w:lineRule="auto"/>
      </w:pPr>
    </w:p>
    <w:p w:rsidR="00657426" w:rsidRDefault="00657426" w:rsidP="00986537">
      <w:pPr>
        <w:spacing w:line="480" w:lineRule="auto"/>
      </w:pPr>
    </w:p>
    <w:p w:rsidR="00657426" w:rsidRPr="00677ADE" w:rsidRDefault="00657426" w:rsidP="00986537">
      <w:pPr>
        <w:pStyle w:val="Caption"/>
        <w:keepNext/>
        <w:spacing w:line="480" w:lineRule="auto"/>
        <w:rPr>
          <w:szCs w:val="24"/>
        </w:rPr>
      </w:pPr>
      <w:r w:rsidRPr="00677ADE">
        <w:rPr>
          <w:szCs w:val="24"/>
        </w:rPr>
        <w:lastRenderedPageBreak/>
        <w:t xml:space="preserve">Table </w:t>
      </w:r>
      <w:r w:rsidR="00590C4E" w:rsidRPr="00677ADE">
        <w:rPr>
          <w:szCs w:val="24"/>
        </w:rPr>
        <w:fldChar w:fldCharType="begin"/>
      </w:r>
      <w:r w:rsidRPr="00677ADE">
        <w:rPr>
          <w:szCs w:val="24"/>
        </w:rPr>
        <w:instrText xml:space="preserve"> SEQ Table \* ARABIC </w:instrText>
      </w:r>
      <w:r w:rsidR="00590C4E" w:rsidRPr="00677ADE">
        <w:rPr>
          <w:szCs w:val="24"/>
        </w:rPr>
        <w:fldChar w:fldCharType="separate"/>
      </w:r>
      <w:r w:rsidR="00367B50">
        <w:rPr>
          <w:noProof/>
          <w:szCs w:val="24"/>
        </w:rPr>
        <w:t>1</w:t>
      </w:r>
      <w:r w:rsidR="00590C4E" w:rsidRPr="00677ADE">
        <w:rPr>
          <w:noProof/>
          <w:szCs w:val="24"/>
        </w:rPr>
        <w:fldChar w:fldCharType="end"/>
      </w:r>
      <w:r w:rsidRPr="00677ADE">
        <w:rPr>
          <w:szCs w:val="24"/>
        </w:rPr>
        <w:t>a Descriptive statistics:  overall and by Case Study Area</w:t>
      </w:r>
    </w:p>
    <w:tbl>
      <w:tblPr>
        <w:tblStyle w:val="TableGrid"/>
        <w:tblW w:w="7420" w:type="dxa"/>
        <w:tblLook w:val="0000"/>
      </w:tblPr>
      <w:tblGrid>
        <w:gridCol w:w="2400"/>
        <w:gridCol w:w="1420"/>
        <w:gridCol w:w="820"/>
        <w:gridCol w:w="860"/>
        <w:gridCol w:w="1920"/>
      </w:tblGrid>
      <w:tr w:rsidR="00657426" w:rsidRPr="006713FC">
        <w:tc>
          <w:tcPr>
            <w:tcW w:w="2400" w:type="dxa"/>
          </w:tcPr>
          <w:p w:rsidR="00657426" w:rsidRPr="008D1DB9" w:rsidRDefault="00657426" w:rsidP="00986537">
            <w:pPr>
              <w:keepNext/>
              <w:keepLines/>
              <w:spacing w:line="480" w:lineRule="auto"/>
              <w:rPr>
                <w:b/>
                <w:bCs/>
              </w:rPr>
            </w:pPr>
          </w:p>
        </w:tc>
        <w:tc>
          <w:tcPr>
            <w:tcW w:w="1420" w:type="dxa"/>
          </w:tcPr>
          <w:p w:rsidR="00657426" w:rsidRPr="008D1DB9" w:rsidRDefault="00657426" w:rsidP="00986537">
            <w:pPr>
              <w:keepNext/>
              <w:keepLines/>
              <w:spacing w:line="480" w:lineRule="auto"/>
              <w:rPr>
                <w:b/>
                <w:bCs/>
              </w:rPr>
            </w:pPr>
            <w:r>
              <w:rPr>
                <w:b/>
                <w:bCs/>
              </w:rPr>
              <w:t>All</w:t>
            </w:r>
          </w:p>
        </w:tc>
        <w:tc>
          <w:tcPr>
            <w:tcW w:w="820" w:type="dxa"/>
          </w:tcPr>
          <w:p w:rsidR="00657426" w:rsidRPr="008D1DB9" w:rsidRDefault="00657426" w:rsidP="00986537">
            <w:pPr>
              <w:keepNext/>
              <w:keepLines/>
              <w:spacing w:line="480" w:lineRule="auto"/>
              <w:rPr>
                <w:b/>
                <w:bCs/>
              </w:rPr>
            </w:pPr>
            <w:r w:rsidRPr="008D1DB9">
              <w:rPr>
                <w:b/>
                <w:bCs/>
              </w:rPr>
              <w:t>AUS</w:t>
            </w:r>
          </w:p>
        </w:tc>
        <w:tc>
          <w:tcPr>
            <w:tcW w:w="860" w:type="dxa"/>
          </w:tcPr>
          <w:p w:rsidR="00657426" w:rsidRPr="008D1DB9" w:rsidRDefault="00657426" w:rsidP="00986537">
            <w:pPr>
              <w:keepNext/>
              <w:keepLines/>
              <w:spacing w:line="480" w:lineRule="auto"/>
              <w:rPr>
                <w:b/>
                <w:bCs/>
              </w:rPr>
            </w:pPr>
            <w:r w:rsidRPr="008D1DB9">
              <w:rPr>
                <w:b/>
                <w:bCs/>
              </w:rPr>
              <w:t>SAM</w:t>
            </w:r>
          </w:p>
        </w:tc>
        <w:tc>
          <w:tcPr>
            <w:tcW w:w="1920" w:type="dxa"/>
          </w:tcPr>
          <w:p w:rsidR="00657426" w:rsidRPr="006713FC" w:rsidRDefault="00657426" w:rsidP="00986537">
            <w:pPr>
              <w:keepNext/>
              <w:keepLines/>
              <w:spacing w:line="480" w:lineRule="auto"/>
              <w:rPr>
                <w:b/>
                <w:bCs/>
              </w:rPr>
            </w:pPr>
            <w:r w:rsidRPr="008D1DB9">
              <w:rPr>
                <w:b/>
                <w:bCs/>
              </w:rPr>
              <w:t>NAM</w:t>
            </w:r>
          </w:p>
        </w:tc>
      </w:tr>
      <w:tr w:rsidR="00657426" w:rsidRPr="006713FC">
        <w:tc>
          <w:tcPr>
            <w:tcW w:w="2400" w:type="dxa"/>
          </w:tcPr>
          <w:p w:rsidR="00657426" w:rsidRPr="006713FC" w:rsidRDefault="00657426" w:rsidP="00986537">
            <w:pPr>
              <w:keepNext/>
              <w:keepLines/>
              <w:spacing w:line="480" w:lineRule="auto"/>
              <w:rPr>
                <w:b/>
                <w:bCs/>
              </w:rPr>
            </w:pPr>
            <w:r w:rsidRPr="006713FC">
              <w:rPr>
                <w:b/>
                <w:bCs/>
              </w:rPr>
              <w:t>Minimum</w:t>
            </w:r>
          </w:p>
        </w:tc>
        <w:tc>
          <w:tcPr>
            <w:tcW w:w="1420" w:type="dxa"/>
          </w:tcPr>
          <w:p w:rsidR="00657426" w:rsidRPr="006713FC" w:rsidRDefault="00657426" w:rsidP="00986537">
            <w:pPr>
              <w:keepNext/>
              <w:keepLines/>
              <w:spacing w:line="480" w:lineRule="auto"/>
              <w:jc w:val="right"/>
            </w:pPr>
            <w:r>
              <w:t>0.0</w:t>
            </w:r>
          </w:p>
        </w:tc>
        <w:tc>
          <w:tcPr>
            <w:tcW w:w="820" w:type="dxa"/>
          </w:tcPr>
          <w:p w:rsidR="00657426" w:rsidRPr="006713FC" w:rsidRDefault="00657426" w:rsidP="00986537">
            <w:pPr>
              <w:keepNext/>
              <w:keepLines/>
              <w:spacing w:line="480" w:lineRule="auto"/>
              <w:jc w:val="right"/>
            </w:pPr>
            <w:r>
              <w:t>0.0</w:t>
            </w:r>
          </w:p>
        </w:tc>
        <w:tc>
          <w:tcPr>
            <w:tcW w:w="860" w:type="dxa"/>
          </w:tcPr>
          <w:p w:rsidR="00657426" w:rsidRPr="006713FC" w:rsidRDefault="00657426" w:rsidP="00986537">
            <w:pPr>
              <w:keepNext/>
              <w:keepLines/>
              <w:spacing w:line="480" w:lineRule="auto"/>
              <w:jc w:val="right"/>
            </w:pPr>
            <w:r>
              <w:t>0.0</w:t>
            </w:r>
          </w:p>
        </w:tc>
        <w:tc>
          <w:tcPr>
            <w:tcW w:w="1920" w:type="dxa"/>
          </w:tcPr>
          <w:p w:rsidR="00657426" w:rsidRPr="006713FC" w:rsidRDefault="00657426" w:rsidP="00986537">
            <w:pPr>
              <w:keepNext/>
              <w:keepLines/>
              <w:spacing w:line="480" w:lineRule="auto"/>
              <w:jc w:val="right"/>
            </w:pPr>
            <w:r>
              <w:t>0.1</w:t>
            </w:r>
          </w:p>
        </w:tc>
      </w:tr>
      <w:tr w:rsidR="00657426" w:rsidRPr="006713FC">
        <w:tc>
          <w:tcPr>
            <w:tcW w:w="2400" w:type="dxa"/>
          </w:tcPr>
          <w:p w:rsidR="00657426" w:rsidRPr="006713FC" w:rsidRDefault="00657426" w:rsidP="00986537">
            <w:pPr>
              <w:keepNext/>
              <w:keepLines/>
              <w:spacing w:line="480" w:lineRule="auto"/>
              <w:rPr>
                <w:b/>
                <w:bCs/>
              </w:rPr>
            </w:pPr>
            <w:r w:rsidRPr="006713FC">
              <w:rPr>
                <w:b/>
                <w:bCs/>
              </w:rPr>
              <w:t>Mean</w:t>
            </w:r>
          </w:p>
        </w:tc>
        <w:tc>
          <w:tcPr>
            <w:tcW w:w="1420" w:type="dxa"/>
          </w:tcPr>
          <w:p w:rsidR="00657426" w:rsidRPr="006713FC" w:rsidRDefault="00657426" w:rsidP="00986537">
            <w:pPr>
              <w:keepNext/>
              <w:keepLines/>
              <w:spacing w:line="480" w:lineRule="auto"/>
              <w:jc w:val="right"/>
            </w:pPr>
            <w:r>
              <w:t>9.8</w:t>
            </w:r>
          </w:p>
        </w:tc>
        <w:tc>
          <w:tcPr>
            <w:tcW w:w="820" w:type="dxa"/>
          </w:tcPr>
          <w:p w:rsidR="00657426" w:rsidRPr="006713FC" w:rsidRDefault="00657426" w:rsidP="00986537">
            <w:pPr>
              <w:keepNext/>
              <w:keepLines/>
              <w:spacing w:line="480" w:lineRule="auto"/>
              <w:jc w:val="right"/>
            </w:pPr>
            <w:r>
              <w:t>11.6</w:t>
            </w:r>
          </w:p>
        </w:tc>
        <w:tc>
          <w:tcPr>
            <w:tcW w:w="860" w:type="dxa"/>
          </w:tcPr>
          <w:p w:rsidR="00657426" w:rsidRPr="006713FC" w:rsidRDefault="00657426" w:rsidP="00986537">
            <w:pPr>
              <w:keepNext/>
              <w:keepLines/>
              <w:spacing w:line="480" w:lineRule="auto"/>
              <w:jc w:val="right"/>
            </w:pPr>
            <w:r>
              <w:t>4.89</w:t>
            </w:r>
          </w:p>
        </w:tc>
        <w:tc>
          <w:tcPr>
            <w:tcW w:w="1920" w:type="dxa"/>
          </w:tcPr>
          <w:p w:rsidR="00657426" w:rsidRPr="006713FC" w:rsidRDefault="00657426" w:rsidP="00986537">
            <w:pPr>
              <w:keepNext/>
              <w:keepLines/>
              <w:spacing w:line="480" w:lineRule="auto"/>
              <w:jc w:val="right"/>
            </w:pPr>
            <w:r>
              <w:t>11.4</w:t>
            </w:r>
          </w:p>
        </w:tc>
      </w:tr>
      <w:tr w:rsidR="00657426" w:rsidRPr="006713FC">
        <w:tc>
          <w:tcPr>
            <w:tcW w:w="2400" w:type="dxa"/>
          </w:tcPr>
          <w:p w:rsidR="00657426" w:rsidRPr="006713FC" w:rsidRDefault="00657426" w:rsidP="00986537">
            <w:pPr>
              <w:keepNext/>
              <w:keepLines/>
              <w:spacing w:line="480" w:lineRule="auto"/>
              <w:rPr>
                <w:b/>
                <w:bCs/>
              </w:rPr>
            </w:pPr>
            <w:r w:rsidRPr="006713FC">
              <w:rPr>
                <w:b/>
                <w:bCs/>
              </w:rPr>
              <w:t>Median</w:t>
            </w:r>
          </w:p>
        </w:tc>
        <w:tc>
          <w:tcPr>
            <w:tcW w:w="1420" w:type="dxa"/>
          </w:tcPr>
          <w:p w:rsidR="00657426" w:rsidRPr="006713FC" w:rsidRDefault="00657426" w:rsidP="00986537">
            <w:pPr>
              <w:keepNext/>
              <w:keepLines/>
              <w:spacing w:line="480" w:lineRule="auto"/>
              <w:jc w:val="right"/>
            </w:pPr>
            <w:r>
              <w:t>6.5</w:t>
            </w:r>
          </w:p>
        </w:tc>
        <w:tc>
          <w:tcPr>
            <w:tcW w:w="820" w:type="dxa"/>
          </w:tcPr>
          <w:p w:rsidR="00657426" w:rsidRPr="006713FC" w:rsidRDefault="00657426" w:rsidP="00986537">
            <w:pPr>
              <w:keepNext/>
              <w:keepLines/>
              <w:spacing w:line="480" w:lineRule="auto"/>
              <w:jc w:val="right"/>
            </w:pPr>
            <w:r>
              <w:t>8.0</w:t>
            </w:r>
          </w:p>
        </w:tc>
        <w:tc>
          <w:tcPr>
            <w:tcW w:w="860" w:type="dxa"/>
          </w:tcPr>
          <w:p w:rsidR="00657426" w:rsidRPr="006713FC" w:rsidRDefault="00657426" w:rsidP="00986537">
            <w:pPr>
              <w:keepNext/>
              <w:keepLines/>
              <w:spacing w:line="480" w:lineRule="auto"/>
              <w:jc w:val="right"/>
            </w:pPr>
            <w:r>
              <w:t>3.75</w:t>
            </w:r>
          </w:p>
        </w:tc>
        <w:tc>
          <w:tcPr>
            <w:tcW w:w="1920" w:type="dxa"/>
          </w:tcPr>
          <w:p w:rsidR="00657426" w:rsidRPr="006713FC" w:rsidRDefault="00657426" w:rsidP="00986537">
            <w:pPr>
              <w:keepNext/>
              <w:keepLines/>
              <w:spacing w:line="480" w:lineRule="auto"/>
              <w:jc w:val="right"/>
            </w:pPr>
            <w:r>
              <w:t>6.7</w:t>
            </w:r>
          </w:p>
        </w:tc>
      </w:tr>
      <w:tr w:rsidR="00657426" w:rsidRPr="006713FC">
        <w:tc>
          <w:tcPr>
            <w:tcW w:w="2400" w:type="dxa"/>
          </w:tcPr>
          <w:p w:rsidR="00657426" w:rsidRPr="006713FC" w:rsidRDefault="00657426" w:rsidP="00986537">
            <w:pPr>
              <w:keepNext/>
              <w:keepLines/>
              <w:spacing w:line="480" w:lineRule="auto"/>
              <w:rPr>
                <w:b/>
                <w:bCs/>
              </w:rPr>
            </w:pPr>
            <w:r w:rsidRPr="006713FC">
              <w:rPr>
                <w:b/>
                <w:bCs/>
              </w:rPr>
              <w:t>Maximum</w:t>
            </w:r>
          </w:p>
        </w:tc>
        <w:tc>
          <w:tcPr>
            <w:tcW w:w="1420" w:type="dxa"/>
          </w:tcPr>
          <w:p w:rsidR="00657426" w:rsidRPr="006713FC" w:rsidRDefault="00657426" w:rsidP="00986537">
            <w:pPr>
              <w:keepNext/>
              <w:keepLines/>
              <w:spacing w:line="480" w:lineRule="auto"/>
              <w:jc w:val="right"/>
            </w:pPr>
            <w:r>
              <w:t>89.5</w:t>
            </w:r>
          </w:p>
        </w:tc>
        <w:tc>
          <w:tcPr>
            <w:tcW w:w="820" w:type="dxa"/>
          </w:tcPr>
          <w:p w:rsidR="00657426" w:rsidRPr="006713FC" w:rsidRDefault="00657426" w:rsidP="00986537">
            <w:pPr>
              <w:keepNext/>
              <w:keepLines/>
              <w:spacing w:line="480" w:lineRule="auto"/>
              <w:jc w:val="right"/>
            </w:pPr>
            <w:r>
              <w:t>49.5</w:t>
            </w:r>
          </w:p>
        </w:tc>
        <w:tc>
          <w:tcPr>
            <w:tcW w:w="860" w:type="dxa"/>
          </w:tcPr>
          <w:p w:rsidR="00657426" w:rsidRPr="006713FC" w:rsidRDefault="00657426" w:rsidP="00986537">
            <w:pPr>
              <w:keepNext/>
              <w:keepLines/>
              <w:spacing w:line="480" w:lineRule="auto"/>
              <w:jc w:val="right"/>
            </w:pPr>
            <w:r>
              <w:t>14.0</w:t>
            </w:r>
          </w:p>
        </w:tc>
        <w:tc>
          <w:tcPr>
            <w:tcW w:w="1920" w:type="dxa"/>
          </w:tcPr>
          <w:p w:rsidR="00657426" w:rsidRPr="006713FC" w:rsidRDefault="00657426" w:rsidP="00986537">
            <w:pPr>
              <w:keepNext/>
              <w:keepLines/>
              <w:spacing w:line="480" w:lineRule="auto"/>
              <w:jc w:val="right"/>
            </w:pPr>
            <w:r>
              <w:t>89.5</w:t>
            </w:r>
          </w:p>
        </w:tc>
      </w:tr>
    </w:tbl>
    <w:p w:rsidR="00657426" w:rsidRDefault="00657426" w:rsidP="00986537">
      <w:pPr>
        <w:spacing w:line="480" w:lineRule="auto"/>
      </w:pPr>
    </w:p>
    <w:p w:rsidR="00657426" w:rsidRPr="00677ADE" w:rsidRDefault="00657426" w:rsidP="00677ADE">
      <w:pPr>
        <w:pStyle w:val="Caption"/>
        <w:keepNext/>
        <w:spacing w:line="480" w:lineRule="auto"/>
        <w:rPr>
          <w:szCs w:val="24"/>
        </w:rPr>
      </w:pPr>
      <w:r w:rsidRPr="00677ADE">
        <w:rPr>
          <w:szCs w:val="24"/>
        </w:rPr>
        <w:t xml:space="preserve">Table 1b Descriptive statistics:  overall and by </w:t>
      </w:r>
      <w:r>
        <w:rPr>
          <w:szCs w:val="24"/>
        </w:rPr>
        <w:t>Subsistent Mode (including Australian data)</w:t>
      </w:r>
    </w:p>
    <w:tbl>
      <w:tblPr>
        <w:tblStyle w:val="TableGrid"/>
        <w:tblW w:w="7438" w:type="dxa"/>
        <w:tblLook w:val="0000"/>
      </w:tblPr>
      <w:tblGrid>
        <w:gridCol w:w="4338"/>
        <w:gridCol w:w="1420"/>
        <w:gridCol w:w="820"/>
        <w:gridCol w:w="860"/>
      </w:tblGrid>
      <w:tr w:rsidR="00657426" w:rsidRPr="008D1DB9">
        <w:tc>
          <w:tcPr>
            <w:tcW w:w="4338" w:type="dxa"/>
          </w:tcPr>
          <w:p w:rsidR="00657426" w:rsidRPr="008D1DB9" w:rsidRDefault="00657426" w:rsidP="00986537">
            <w:pPr>
              <w:spacing w:line="480" w:lineRule="auto"/>
              <w:rPr>
                <w:b/>
                <w:bCs/>
              </w:rPr>
            </w:pPr>
            <w:r w:rsidRPr="008D1DB9">
              <w:rPr>
                <w:b/>
                <w:bCs/>
              </w:rPr>
              <w:t>Borrowing Rate Stats (includes AUS)</w:t>
            </w:r>
          </w:p>
        </w:tc>
        <w:tc>
          <w:tcPr>
            <w:tcW w:w="1420" w:type="dxa"/>
          </w:tcPr>
          <w:p w:rsidR="00657426" w:rsidRPr="008D1DB9" w:rsidRDefault="00657426" w:rsidP="00986537">
            <w:pPr>
              <w:spacing w:line="480" w:lineRule="auto"/>
              <w:rPr>
                <w:b/>
                <w:bCs/>
              </w:rPr>
            </w:pPr>
            <w:r>
              <w:rPr>
                <w:b/>
                <w:bCs/>
              </w:rPr>
              <w:t>All</w:t>
            </w:r>
          </w:p>
        </w:tc>
        <w:tc>
          <w:tcPr>
            <w:tcW w:w="820" w:type="dxa"/>
          </w:tcPr>
          <w:p w:rsidR="00657426" w:rsidRPr="008D1DB9" w:rsidRDefault="00657426" w:rsidP="00986537">
            <w:pPr>
              <w:spacing w:line="480" w:lineRule="auto"/>
              <w:rPr>
                <w:b/>
                <w:bCs/>
              </w:rPr>
            </w:pPr>
            <w:r w:rsidRPr="008D1DB9">
              <w:rPr>
                <w:b/>
                <w:bCs/>
              </w:rPr>
              <w:t>HG</w:t>
            </w:r>
          </w:p>
        </w:tc>
        <w:tc>
          <w:tcPr>
            <w:tcW w:w="860" w:type="dxa"/>
          </w:tcPr>
          <w:p w:rsidR="00657426" w:rsidRPr="008D1DB9" w:rsidRDefault="00657426" w:rsidP="00986537">
            <w:pPr>
              <w:spacing w:line="480" w:lineRule="auto"/>
              <w:rPr>
                <w:b/>
                <w:bCs/>
              </w:rPr>
            </w:pPr>
            <w:r w:rsidRPr="008D1DB9">
              <w:rPr>
                <w:b/>
                <w:bCs/>
              </w:rPr>
              <w:t>AG</w:t>
            </w:r>
          </w:p>
        </w:tc>
      </w:tr>
      <w:tr w:rsidR="00657426" w:rsidRPr="008D1DB9">
        <w:tc>
          <w:tcPr>
            <w:tcW w:w="4338" w:type="dxa"/>
          </w:tcPr>
          <w:p w:rsidR="00657426" w:rsidRPr="008D1DB9" w:rsidRDefault="00657426" w:rsidP="00986537">
            <w:pPr>
              <w:spacing w:line="480" w:lineRule="auto"/>
              <w:rPr>
                <w:b/>
                <w:bCs/>
              </w:rPr>
            </w:pPr>
            <w:r w:rsidRPr="008D1DB9">
              <w:rPr>
                <w:b/>
                <w:bCs/>
              </w:rPr>
              <w:t>Minimum</w:t>
            </w:r>
          </w:p>
        </w:tc>
        <w:tc>
          <w:tcPr>
            <w:tcW w:w="1420" w:type="dxa"/>
          </w:tcPr>
          <w:p w:rsidR="00657426" w:rsidRPr="008D1DB9" w:rsidRDefault="00657426" w:rsidP="00986537">
            <w:pPr>
              <w:spacing w:line="480" w:lineRule="auto"/>
              <w:jc w:val="right"/>
            </w:pPr>
            <w:r w:rsidRPr="008D1DB9">
              <w:t>0.0</w:t>
            </w:r>
          </w:p>
        </w:tc>
        <w:tc>
          <w:tcPr>
            <w:tcW w:w="820" w:type="dxa"/>
          </w:tcPr>
          <w:p w:rsidR="00657426" w:rsidRPr="008D1DB9" w:rsidRDefault="00657426" w:rsidP="00986537">
            <w:pPr>
              <w:spacing w:line="480" w:lineRule="auto"/>
              <w:jc w:val="right"/>
            </w:pPr>
            <w:r w:rsidRPr="008D1DB9">
              <w:t>0.0</w:t>
            </w:r>
          </w:p>
        </w:tc>
        <w:tc>
          <w:tcPr>
            <w:tcW w:w="860" w:type="dxa"/>
          </w:tcPr>
          <w:p w:rsidR="00657426" w:rsidRPr="008D1DB9" w:rsidRDefault="00657426" w:rsidP="00986537">
            <w:pPr>
              <w:spacing w:line="480" w:lineRule="auto"/>
              <w:jc w:val="right"/>
            </w:pPr>
            <w:r w:rsidRPr="008D1DB9">
              <w:t>0.0</w:t>
            </w:r>
          </w:p>
        </w:tc>
      </w:tr>
      <w:tr w:rsidR="00657426" w:rsidRPr="008D1DB9">
        <w:tc>
          <w:tcPr>
            <w:tcW w:w="4338" w:type="dxa"/>
          </w:tcPr>
          <w:p w:rsidR="00657426" w:rsidRPr="008D1DB9" w:rsidRDefault="00657426" w:rsidP="00986537">
            <w:pPr>
              <w:spacing w:line="480" w:lineRule="auto"/>
              <w:rPr>
                <w:b/>
                <w:bCs/>
              </w:rPr>
            </w:pPr>
            <w:r w:rsidRPr="008D1DB9">
              <w:rPr>
                <w:b/>
                <w:bCs/>
              </w:rPr>
              <w:t>Mean</w:t>
            </w:r>
          </w:p>
        </w:tc>
        <w:tc>
          <w:tcPr>
            <w:tcW w:w="1420" w:type="dxa"/>
          </w:tcPr>
          <w:p w:rsidR="00657426" w:rsidRPr="008D1DB9" w:rsidRDefault="00657426" w:rsidP="00986537">
            <w:pPr>
              <w:spacing w:line="480" w:lineRule="auto"/>
              <w:jc w:val="right"/>
            </w:pPr>
            <w:r w:rsidRPr="008D1DB9">
              <w:t>9.8</w:t>
            </w:r>
          </w:p>
        </w:tc>
        <w:tc>
          <w:tcPr>
            <w:tcW w:w="820" w:type="dxa"/>
          </w:tcPr>
          <w:p w:rsidR="00657426" w:rsidRPr="008D1DB9" w:rsidRDefault="00657426" w:rsidP="00986537">
            <w:pPr>
              <w:spacing w:line="480" w:lineRule="auto"/>
              <w:jc w:val="right"/>
            </w:pPr>
            <w:r w:rsidRPr="008D1DB9">
              <w:t>11.5</w:t>
            </w:r>
          </w:p>
        </w:tc>
        <w:tc>
          <w:tcPr>
            <w:tcW w:w="860" w:type="dxa"/>
          </w:tcPr>
          <w:p w:rsidR="00657426" w:rsidRPr="008D1DB9" w:rsidRDefault="00657426" w:rsidP="00986537">
            <w:pPr>
              <w:spacing w:line="480" w:lineRule="auto"/>
              <w:jc w:val="right"/>
            </w:pPr>
            <w:r w:rsidRPr="008D1DB9">
              <w:t>3.5</w:t>
            </w:r>
          </w:p>
        </w:tc>
      </w:tr>
      <w:tr w:rsidR="00657426" w:rsidRPr="008D1DB9">
        <w:tc>
          <w:tcPr>
            <w:tcW w:w="4338" w:type="dxa"/>
          </w:tcPr>
          <w:p w:rsidR="00657426" w:rsidRPr="008D1DB9" w:rsidRDefault="00657426" w:rsidP="00986537">
            <w:pPr>
              <w:spacing w:line="480" w:lineRule="auto"/>
              <w:rPr>
                <w:b/>
                <w:bCs/>
              </w:rPr>
            </w:pPr>
            <w:r w:rsidRPr="008D1DB9">
              <w:rPr>
                <w:b/>
                <w:bCs/>
              </w:rPr>
              <w:t>Median</w:t>
            </w:r>
          </w:p>
        </w:tc>
        <w:tc>
          <w:tcPr>
            <w:tcW w:w="1420" w:type="dxa"/>
          </w:tcPr>
          <w:p w:rsidR="00657426" w:rsidRPr="008D1DB9" w:rsidRDefault="00657426" w:rsidP="00986537">
            <w:pPr>
              <w:spacing w:line="480" w:lineRule="auto"/>
              <w:jc w:val="right"/>
            </w:pPr>
            <w:r w:rsidRPr="008D1DB9">
              <w:t>6.5</w:t>
            </w:r>
          </w:p>
        </w:tc>
        <w:tc>
          <w:tcPr>
            <w:tcW w:w="820" w:type="dxa"/>
          </w:tcPr>
          <w:p w:rsidR="00657426" w:rsidRPr="008D1DB9" w:rsidRDefault="00657426" w:rsidP="00986537">
            <w:pPr>
              <w:spacing w:line="480" w:lineRule="auto"/>
              <w:jc w:val="right"/>
            </w:pPr>
            <w:r w:rsidRPr="008D1DB9">
              <w:t>7.2</w:t>
            </w:r>
          </w:p>
        </w:tc>
        <w:tc>
          <w:tcPr>
            <w:tcW w:w="860" w:type="dxa"/>
          </w:tcPr>
          <w:p w:rsidR="00657426" w:rsidRPr="008D1DB9" w:rsidRDefault="00657426" w:rsidP="00986537">
            <w:pPr>
              <w:spacing w:line="480" w:lineRule="auto"/>
              <w:jc w:val="right"/>
            </w:pPr>
            <w:r w:rsidRPr="008D1DB9">
              <w:t>2.9</w:t>
            </w:r>
          </w:p>
        </w:tc>
      </w:tr>
      <w:tr w:rsidR="00657426" w:rsidRPr="006713FC">
        <w:tc>
          <w:tcPr>
            <w:tcW w:w="4338" w:type="dxa"/>
          </w:tcPr>
          <w:p w:rsidR="00657426" w:rsidRPr="008D1DB9" w:rsidRDefault="00657426" w:rsidP="00986537">
            <w:pPr>
              <w:spacing w:line="480" w:lineRule="auto"/>
              <w:rPr>
                <w:b/>
                <w:bCs/>
              </w:rPr>
            </w:pPr>
            <w:r w:rsidRPr="008D1DB9">
              <w:rPr>
                <w:b/>
                <w:bCs/>
              </w:rPr>
              <w:t>Maximum</w:t>
            </w:r>
          </w:p>
        </w:tc>
        <w:tc>
          <w:tcPr>
            <w:tcW w:w="1420" w:type="dxa"/>
          </w:tcPr>
          <w:p w:rsidR="00657426" w:rsidRPr="008D1DB9" w:rsidRDefault="00657426" w:rsidP="00986537">
            <w:pPr>
              <w:spacing w:line="480" w:lineRule="auto"/>
              <w:jc w:val="right"/>
            </w:pPr>
            <w:r w:rsidRPr="008D1DB9">
              <w:t>89.5</w:t>
            </w:r>
          </w:p>
        </w:tc>
        <w:tc>
          <w:tcPr>
            <w:tcW w:w="820" w:type="dxa"/>
          </w:tcPr>
          <w:p w:rsidR="00657426" w:rsidRPr="008D1DB9" w:rsidRDefault="00657426" w:rsidP="00986537">
            <w:pPr>
              <w:spacing w:line="480" w:lineRule="auto"/>
              <w:jc w:val="right"/>
            </w:pPr>
            <w:r w:rsidRPr="008D1DB9">
              <w:t>89.5</w:t>
            </w:r>
          </w:p>
        </w:tc>
        <w:tc>
          <w:tcPr>
            <w:tcW w:w="860" w:type="dxa"/>
          </w:tcPr>
          <w:p w:rsidR="00657426" w:rsidRPr="006713FC" w:rsidRDefault="00657426" w:rsidP="00986537">
            <w:pPr>
              <w:spacing w:line="480" w:lineRule="auto"/>
              <w:jc w:val="right"/>
            </w:pPr>
            <w:r w:rsidRPr="008D1DB9">
              <w:t>10.3</w:t>
            </w:r>
          </w:p>
        </w:tc>
      </w:tr>
    </w:tbl>
    <w:p w:rsidR="00657426" w:rsidRDefault="00657426" w:rsidP="00986537">
      <w:pPr>
        <w:spacing w:line="480" w:lineRule="auto"/>
      </w:pPr>
    </w:p>
    <w:p w:rsidR="00657426" w:rsidRPr="00677ADE" w:rsidRDefault="00657426" w:rsidP="00986537">
      <w:pPr>
        <w:spacing w:line="480" w:lineRule="auto"/>
        <w:rPr>
          <w:b/>
        </w:rPr>
      </w:pPr>
      <w:r w:rsidRPr="00677ADE">
        <w:rPr>
          <w:b/>
        </w:rPr>
        <w:t>Table 1c Descriptive statistics:  overall and by Subsistent Mode (excluding Australian data)</w:t>
      </w:r>
    </w:p>
    <w:tbl>
      <w:tblPr>
        <w:tblStyle w:val="TableGrid"/>
        <w:tblW w:w="6918" w:type="dxa"/>
        <w:tblLook w:val="0000"/>
      </w:tblPr>
      <w:tblGrid>
        <w:gridCol w:w="3708"/>
        <w:gridCol w:w="1530"/>
        <w:gridCol w:w="820"/>
        <w:gridCol w:w="860"/>
      </w:tblGrid>
      <w:tr w:rsidR="00657426" w:rsidRPr="008D1DB9">
        <w:tc>
          <w:tcPr>
            <w:tcW w:w="3708" w:type="dxa"/>
          </w:tcPr>
          <w:p w:rsidR="00657426" w:rsidRPr="008D1DB9" w:rsidRDefault="00657426" w:rsidP="00986537">
            <w:pPr>
              <w:spacing w:line="480" w:lineRule="auto"/>
              <w:rPr>
                <w:b/>
                <w:bCs/>
              </w:rPr>
            </w:pPr>
            <w:r w:rsidRPr="008D1DB9">
              <w:rPr>
                <w:b/>
                <w:bCs/>
              </w:rPr>
              <w:t>Borrowing Rate Stats (no AUS)</w:t>
            </w:r>
          </w:p>
        </w:tc>
        <w:tc>
          <w:tcPr>
            <w:tcW w:w="1530" w:type="dxa"/>
          </w:tcPr>
          <w:p w:rsidR="00657426" w:rsidRPr="008D1DB9" w:rsidRDefault="00657426" w:rsidP="00986537">
            <w:pPr>
              <w:spacing w:line="480" w:lineRule="auto"/>
              <w:rPr>
                <w:b/>
                <w:bCs/>
              </w:rPr>
            </w:pPr>
            <w:r>
              <w:rPr>
                <w:b/>
                <w:bCs/>
              </w:rPr>
              <w:t>All</w:t>
            </w:r>
          </w:p>
        </w:tc>
        <w:tc>
          <w:tcPr>
            <w:tcW w:w="820" w:type="dxa"/>
          </w:tcPr>
          <w:p w:rsidR="00657426" w:rsidRPr="008D1DB9" w:rsidRDefault="00657426" w:rsidP="00986537">
            <w:pPr>
              <w:spacing w:line="480" w:lineRule="auto"/>
              <w:rPr>
                <w:b/>
                <w:bCs/>
              </w:rPr>
            </w:pPr>
            <w:r w:rsidRPr="008D1DB9">
              <w:rPr>
                <w:b/>
                <w:bCs/>
              </w:rPr>
              <w:t>HG</w:t>
            </w:r>
          </w:p>
        </w:tc>
        <w:tc>
          <w:tcPr>
            <w:tcW w:w="860" w:type="dxa"/>
          </w:tcPr>
          <w:p w:rsidR="00657426" w:rsidRPr="008D1DB9" w:rsidRDefault="00657426" w:rsidP="00986537">
            <w:pPr>
              <w:spacing w:line="480" w:lineRule="auto"/>
              <w:rPr>
                <w:b/>
                <w:bCs/>
              </w:rPr>
            </w:pPr>
            <w:r w:rsidRPr="008D1DB9">
              <w:rPr>
                <w:b/>
                <w:bCs/>
              </w:rPr>
              <w:t>AG</w:t>
            </w:r>
          </w:p>
        </w:tc>
      </w:tr>
      <w:tr w:rsidR="00657426" w:rsidRPr="008D1DB9">
        <w:tc>
          <w:tcPr>
            <w:tcW w:w="3708" w:type="dxa"/>
          </w:tcPr>
          <w:p w:rsidR="00657426" w:rsidRPr="008D1DB9" w:rsidRDefault="00657426" w:rsidP="00986537">
            <w:pPr>
              <w:spacing w:line="480" w:lineRule="auto"/>
              <w:rPr>
                <w:b/>
                <w:bCs/>
              </w:rPr>
            </w:pPr>
            <w:r w:rsidRPr="008D1DB9">
              <w:rPr>
                <w:b/>
                <w:bCs/>
              </w:rPr>
              <w:t>Minimum</w:t>
            </w:r>
          </w:p>
        </w:tc>
        <w:tc>
          <w:tcPr>
            <w:tcW w:w="1530" w:type="dxa"/>
          </w:tcPr>
          <w:p w:rsidR="00657426" w:rsidRPr="008D1DB9" w:rsidRDefault="00657426" w:rsidP="00986537">
            <w:pPr>
              <w:spacing w:line="480" w:lineRule="auto"/>
              <w:jc w:val="right"/>
            </w:pPr>
            <w:r w:rsidRPr="008D1DB9">
              <w:t>0.0</w:t>
            </w:r>
          </w:p>
        </w:tc>
        <w:tc>
          <w:tcPr>
            <w:tcW w:w="820" w:type="dxa"/>
          </w:tcPr>
          <w:p w:rsidR="00657426" w:rsidRPr="008D1DB9" w:rsidRDefault="00657426" w:rsidP="00986537">
            <w:pPr>
              <w:spacing w:line="480" w:lineRule="auto"/>
              <w:jc w:val="right"/>
            </w:pPr>
            <w:r w:rsidRPr="008D1DB9">
              <w:t>0.0</w:t>
            </w:r>
          </w:p>
        </w:tc>
        <w:tc>
          <w:tcPr>
            <w:tcW w:w="860" w:type="dxa"/>
          </w:tcPr>
          <w:p w:rsidR="00657426" w:rsidRPr="008D1DB9" w:rsidRDefault="00657426" w:rsidP="00986537">
            <w:pPr>
              <w:spacing w:line="480" w:lineRule="auto"/>
              <w:jc w:val="right"/>
            </w:pPr>
            <w:r w:rsidRPr="008D1DB9">
              <w:t>0.0</w:t>
            </w:r>
          </w:p>
        </w:tc>
      </w:tr>
      <w:tr w:rsidR="00657426" w:rsidRPr="008D1DB9">
        <w:tc>
          <w:tcPr>
            <w:tcW w:w="3708" w:type="dxa"/>
          </w:tcPr>
          <w:p w:rsidR="00657426" w:rsidRPr="008D1DB9" w:rsidRDefault="00657426" w:rsidP="00986537">
            <w:pPr>
              <w:spacing w:line="480" w:lineRule="auto"/>
              <w:rPr>
                <w:b/>
                <w:bCs/>
              </w:rPr>
            </w:pPr>
            <w:r w:rsidRPr="008D1DB9">
              <w:rPr>
                <w:b/>
                <w:bCs/>
              </w:rPr>
              <w:t>Mean</w:t>
            </w:r>
          </w:p>
        </w:tc>
        <w:tc>
          <w:tcPr>
            <w:tcW w:w="1530" w:type="dxa"/>
          </w:tcPr>
          <w:p w:rsidR="00657426" w:rsidRPr="008D1DB9" w:rsidRDefault="00657426" w:rsidP="00986537">
            <w:pPr>
              <w:spacing w:line="480" w:lineRule="auto"/>
              <w:jc w:val="right"/>
            </w:pPr>
            <w:r w:rsidRPr="008D1DB9">
              <w:t>8.9</w:t>
            </w:r>
          </w:p>
        </w:tc>
        <w:tc>
          <w:tcPr>
            <w:tcW w:w="820" w:type="dxa"/>
          </w:tcPr>
          <w:p w:rsidR="00657426" w:rsidRPr="008D1DB9" w:rsidRDefault="00657426" w:rsidP="00986537">
            <w:pPr>
              <w:spacing w:line="480" w:lineRule="auto"/>
              <w:jc w:val="right"/>
            </w:pPr>
            <w:r w:rsidRPr="008D1DB9">
              <w:t>11.3</w:t>
            </w:r>
          </w:p>
        </w:tc>
        <w:tc>
          <w:tcPr>
            <w:tcW w:w="860" w:type="dxa"/>
          </w:tcPr>
          <w:p w:rsidR="00657426" w:rsidRPr="008D1DB9" w:rsidRDefault="00657426" w:rsidP="00986537">
            <w:pPr>
              <w:spacing w:line="480" w:lineRule="auto"/>
              <w:jc w:val="right"/>
            </w:pPr>
            <w:r w:rsidRPr="008D1DB9">
              <w:t>3.5</w:t>
            </w:r>
          </w:p>
        </w:tc>
      </w:tr>
      <w:tr w:rsidR="00657426" w:rsidRPr="008D1DB9">
        <w:tc>
          <w:tcPr>
            <w:tcW w:w="3708" w:type="dxa"/>
          </w:tcPr>
          <w:p w:rsidR="00657426" w:rsidRPr="008D1DB9" w:rsidRDefault="00657426" w:rsidP="00986537">
            <w:pPr>
              <w:spacing w:line="480" w:lineRule="auto"/>
              <w:rPr>
                <w:b/>
                <w:bCs/>
              </w:rPr>
            </w:pPr>
            <w:r w:rsidRPr="008D1DB9">
              <w:rPr>
                <w:b/>
                <w:bCs/>
              </w:rPr>
              <w:t>Median</w:t>
            </w:r>
          </w:p>
        </w:tc>
        <w:tc>
          <w:tcPr>
            <w:tcW w:w="1530" w:type="dxa"/>
          </w:tcPr>
          <w:p w:rsidR="00657426" w:rsidRPr="008D1DB9" w:rsidRDefault="00657426" w:rsidP="00986537">
            <w:pPr>
              <w:spacing w:line="480" w:lineRule="auto"/>
              <w:jc w:val="right"/>
            </w:pPr>
            <w:r w:rsidRPr="008D1DB9">
              <w:t>5.9</w:t>
            </w:r>
          </w:p>
        </w:tc>
        <w:tc>
          <w:tcPr>
            <w:tcW w:w="820" w:type="dxa"/>
          </w:tcPr>
          <w:p w:rsidR="00657426" w:rsidRPr="008D1DB9" w:rsidRDefault="00657426" w:rsidP="00986537">
            <w:pPr>
              <w:spacing w:line="480" w:lineRule="auto"/>
              <w:jc w:val="right"/>
            </w:pPr>
            <w:r w:rsidRPr="008D1DB9">
              <w:t>7.0</w:t>
            </w:r>
          </w:p>
        </w:tc>
        <w:tc>
          <w:tcPr>
            <w:tcW w:w="860" w:type="dxa"/>
          </w:tcPr>
          <w:p w:rsidR="00657426" w:rsidRPr="008D1DB9" w:rsidRDefault="00657426" w:rsidP="00986537">
            <w:pPr>
              <w:spacing w:line="480" w:lineRule="auto"/>
              <w:jc w:val="right"/>
            </w:pPr>
            <w:r w:rsidRPr="008D1DB9">
              <w:t>2.9</w:t>
            </w:r>
          </w:p>
        </w:tc>
      </w:tr>
      <w:tr w:rsidR="00657426" w:rsidRPr="006713FC">
        <w:tc>
          <w:tcPr>
            <w:tcW w:w="3708" w:type="dxa"/>
          </w:tcPr>
          <w:p w:rsidR="00657426" w:rsidRPr="008D1DB9" w:rsidRDefault="00657426" w:rsidP="00986537">
            <w:pPr>
              <w:spacing w:line="480" w:lineRule="auto"/>
              <w:rPr>
                <w:b/>
                <w:bCs/>
              </w:rPr>
            </w:pPr>
            <w:r w:rsidRPr="008D1DB9">
              <w:rPr>
                <w:b/>
                <w:bCs/>
              </w:rPr>
              <w:lastRenderedPageBreak/>
              <w:t>Maximum</w:t>
            </w:r>
          </w:p>
        </w:tc>
        <w:tc>
          <w:tcPr>
            <w:tcW w:w="1530" w:type="dxa"/>
          </w:tcPr>
          <w:p w:rsidR="00657426" w:rsidRPr="008D1DB9" w:rsidRDefault="00657426" w:rsidP="00986537">
            <w:pPr>
              <w:spacing w:line="480" w:lineRule="auto"/>
              <w:jc w:val="right"/>
            </w:pPr>
            <w:r w:rsidRPr="008D1DB9">
              <w:t>89.5</w:t>
            </w:r>
          </w:p>
        </w:tc>
        <w:tc>
          <w:tcPr>
            <w:tcW w:w="820" w:type="dxa"/>
          </w:tcPr>
          <w:p w:rsidR="00657426" w:rsidRPr="008D1DB9" w:rsidRDefault="00657426" w:rsidP="00986537">
            <w:pPr>
              <w:spacing w:line="480" w:lineRule="auto"/>
              <w:jc w:val="right"/>
            </w:pPr>
            <w:r w:rsidRPr="008D1DB9">
              <w:t>89.5</w:t>
            </w:r>
          </w:p>
        </w:tc>
        <w:tc>
          <w:tcPr>
            <w:tcW w:w="860" w:type="dxa"/>
          </w:tcPr>
          <w:p w:rsidR="00657426" w:rsidRPr="006713FC" w:rsidRDefault="00657426" w:rsidP="00986537">
            <w:pPr>
              <w:spacing w:line="480" w:lineRule="auto"/>
              <w:jc w:val="right"/>
            </w:pPr>
            <w:r w:rsidRPr="008D1DB9">
              <w:t>10.3</w:t>
            </w:r>
          </w:p>
        </w:tc>
      </w:tr>
    </w:tbl>
    <w:p w:rsidR="00657426" w:rsidRDefault="00657426" w:rsidP="00986537">
      <w:pPr>
        <w:spacing w:line="480" w:lineRule="auto"/>
      </w:pPr>
    </w:p>
    <w:p w:rsidR="00657426" w:rsidRDefault="00657426" w:rsidP="00986537">
      <w:pPr>
        <w:spacing w:line="480" w:lineRule="auto"/>
      </w:pPr>
    </w:p>
    <w:p w:rsidR="00657426" w:rsidRDefault="00657426" w:rsidP="00986537">
      <w:pPr>
        <w:spacing w:line="480" w:lineRule="auto"/>
        <w:ind w:firstLine="720"/>
      </w:pPr>
      <w:r>
        <w:t xml:space="preserve">There was a clear overall difference in loan rates between hunter-gatherers and agriculturalists. It is unclear, however, whether that difference stems from (a) the relative importance to those language speakers of the different types of flora and fauna considered in the study; or (b) social asymmetries within agricultural and hunter-gatherer groups and the way they interact with their environments, which in turn lead to differences in the flora/fauna nomenclature system. In case (a), we might expect a region like Amazonia to be more uniform (but different from other parts of the world), since most groups practice varying degrees of agriculture and foraging. That is, we would not expect as much difference between agriculturalist and hunter-gatherer groups in Amazonia, where both types of groups interact with both wild and cultivated species. If (b) is the case, we might expect differences between hunter-gatherers and agriculturalists in Amazonia because of the way in which those groups use food production as a way to classify societies. We note (from Section 4.3 below) that cultivated species themselves are not a source of differences between the groups. Testing this hypothesis further is beyond the scope of this paper, since at this point we lack the required sample size of Amazonian languages to investigate this in more detail. However, the Amazonian results do suggest that the region’s hunter-gatherer languages have borrowed more flora-fauna terms than have the agriculturalist languages. This observation is in keeping with option (b), and it is known that prestige differences between at least some hunter-gatherers and agriculturalists have fostered one-way bilingualism and borrowing </w:t>
      </w:r>
      <w:r>
        <w:rPr>
          <w:noProof/>
        </w:rPr>
        <w:t>(e.g. Epps 2009)</w:t>
      </w:r>
      <w:r>
        <w:t xml:space="preserve">. However, it does not rule out option (a), since </w:t>
      </w:r>
      <w:r>
        <w:lastRenderedPageBreak/>
        <w:t xml:space="preserve">some hunter-gatherers may have increased their reliance on horticulture fairly recently, which could also lead to more loans </w:t>
      </w:r>
      <w:r>
        <w:rPr>
          <w:noProof/>
        </w:rPr>
        <w:t>(see Epps forthcoming)</w:t>
      </w:r>
      <w:r>
        <w:t xml:space="preserve">. </w:t>
      </w:r>
    </w:p>
    <w:p w:rsidR="00657426" w:rsidRDefault="00657426" w:rsidP="00986537">
      <w:pPr>
        <w:spacing w:line="480" w:lineRule="auto"/>
        <w:ind w:firstLine="720"/>
      </w:pPr>
      <w:r w:rsidRPr="00FA38DA">
        <w:t>Aspects of population demograph</w:t>
      </w:r>
      <w:r>
        <w:t xml:space="preserve">y were tested for significance </w:t>
      </w:r>
      <w:r w:rsidRPr="00FA38DA">
        <w:t xml:space="preserve">using the same characteristics </w:t>
      </w:r>
      <w:r>
        <w:t>that</w:t>
      </w:r>
      <w:r w:rsidRPr="00FA38DA">
        <w:t xml:space="preserve"> appear in Bowern </w:t>
      </w:r>
      <w:r w:rsidRPr="00E701B8">
        <w:t>et al</w:t>
      </w:r>
      <w:r>
        <w:rPr>
          <w:i/>
        </w:rPr>
        <w:t>.</w:t>
      </w:r>
      <w:r w:rsidRPr="00FA38DA">
        <w:rPr>
          <w:i/>
        </w:rPr>
        <w:t xml:space="preserve"> </w:t>
      </w:r>
      <w:r>
        <w:t>(</w:t>
      </w:r>
      <w:r w:rsidRPr="00FA38DA">
        <w:t>2011</w:t>
      </w:r>
      <w:r>
        <w:t>)</w:t>
      </w:r>
      <w:r w:rsidRPr="00FA38DA">
        <w:t xml:space="preserve">. </w:t>
      </w:r>
      <w:r>
        <w:t xml:space="preserve">Exogamy, population size, and population density all showed significant predictive value in at least one etymological category, with exogamous groups having fewer loans, medium-sized groups the highest rate of unique items, larger groups the highest rate of inheritance, medium-dense groups the lowest rate of inheritance but the highest rates of unique items and loans. </w:t>
      </w:r>
    </w:p>
    <w:p w:rsidR="00657426" w:rsidRDefault="00657426" w:rsidP="00986537">
      <w:pPr>
        <w:spacing w:line="480" w:lineRule="auto"/>
      </w:pPr>
    </w:p>
    <w:p w:rsidR="00657426" w:rsidRDefault="00657426" w:rsidP="00986537">
      <w:pPr>
        <w:pStyle w:val="Caption"/>
        <w:keepNext/>
        <w:spacing w:line="480" w:lineRule="auto"/>
      </w:pPr>
      <w:r>
        <w:t xml:space="preserve">Table </w:t>
      </w:r>
      <w:r w:rsidR="00590C4E">
        <w:fldChar w:fldCharType="begin"/>
      </w:r>
      <w:r w:rsidR="0083600B">
        <w:instrText xml:space="preserve"> SEQ Table \* ARABIC </w:instrText>
      </w:r>
      <w:r w:rsidR="00590C4E">
        <w:fldChar w:fldCharType="separate"/>
      </w:r>
      <w:r w:rsidR="00367B50">
        <w:rPr>
          <w:noProof/>
        </w:rPr>
        <w:t>2</w:t>
      </w:r>
      <w:r w:rsidR="00590C4E">
        <w:rPr>
          <w:noProof/>
        </w:rPr>
        <w:fldChar w:fldCharType="end"/>
      </w:r>
      <w:r>
        <w:rPr>
          <w:noProof/>
        </w:rPr>
        <w:t xml:space="preserve"> Significance of demographic traits</w:t>
      </w:r>
    </w:p>
    <w:tbl>
      <w:tblPr>
        <w:tblStyle w:val="TableGrid"/>
        <w:tblW w:w="0" w:type="auto"/>
        <w:tblLook w:val="04A0"/>
      </w:tblPr>
      <w:tblGrid>
        <w:gridCol w:w="2706"/>
        <w:gridCol w:w="2290"/>
        <w:gridCol w:w="2290"/>
        <w:gridCol w:w="2290"/>
      </w:tblGrid>
      <w:tr w:rsidR="00657426">
        <w:tc>
          <w:tcPr>
            <w:tcW w:w="2706" w:type="dxa"/>
          </w:tcPr>
          <w:p w:rsidR="00657426" w:rsidRPr="00297C9A" w:rsidRDefault="00657426" w:rsidP="00986537">
            <w:pPr>
              <w:spacing w:line="480" w:lineRule="auto"/>
              <w:rPr>
                <w:b/>
              </w:rPr>
            </w:pPr>
            <w:r w:rsidRPr="00297C9A">
              <w:rPr>
                <w:b/>
              </w:rPr>
              <w:t>Demographic Aspect</w:t>
            </w:r>
          </w:p>
        </w:tc>
        <w:tc>
          <w:tcPr>
            <w:tcW w:w="2290" w:type="dxa"/>
          </w:tcPr>
          <w:p w:rsidR="00657426" w:rsidRPr="00297C9A" w:rsidRDefault="00657426" w:rsidP="00986537">
            <w:pPr>
              <w:spacing w:line="480" w:lineRule="auto"/>
              <w:rPr>
                <w:b/>
              </w:rPr>
            </w:pPr>
            <w:r w:rsidRPr="00297C9A">
              <w:rPr>
                <w:b/>
              </w:rPr>
              <w:t>Loan Rate</w:t>
            </w:r>
          </w:p>
        </w:tc>
        <w:tc>
          <w:tcPr>
            <w:tcW w:w="2290" w:type="dxa"/>
          </w:tcPr>
          <w:p w:rsidR="00657426" w:rsidRPr="00297C9A" w:rsidRDefault="00657426" w:rsidP="00986537">
            <w:pPr>
              <w:spacing w:line="480" w:lineRule="auto"/>
              <w:rPr>
                <w:b/>
              </w:rPr>
            </w:pPr>
            <w:r w:rsidRPr="00297C9A">
              <w:rPr>
                <w:b/>
              </w:rPr>
              <w:t>Unique Items</w:t>
            </w:r>
          </w:p>
        </w:tc>
        <w:tc>
          <w:tcPr>
            <w:tcW w:w="2290" w:type="dxa"/>
          </w:tcPr>
          <w:p w:rsidR="00657426" w:rsidRPr="00297C9A" w:rsidRDefault="00657426" w:rsidP="00986537">
            <w:pPr>
              <w:spacing w:line="480" w:lineRule="auto"/>
              <w:rPr>
                <w:b/>
              </w:rPr>
            </w:pPr>
            <w:r w:rsidRPr="00297C9A">
              <w:rPr>
                <w:b/>
              </w:rPr>
              <w:t>Inheritance</w:t>
            </w:r>
          </w:p>
        </w:tc>
      </w:tr>
      <w:tr w:rsidR="00657426">
        <w:tc>
          <w:tcPr>
            <w:tcW w:w="2706" w:type="dxa"/>
          </w:tcPr>
          <w:p w:rsidR="00657426" w:rsidRDefault="00657426" w:rsidP="00986537">
            <w:pPr>
              <w:spacing w:line="480" w:lineRule="auto"/>
            </w:pPr>
            <w:r>
              <w:t>Exogamy</w:t>
            </w:r>
          </w:p>
        </w:tc>
        <w:tc>
          <w:tcPr>
            <w:tcW w:w="2290" w:type="dxa"/>
          </w:tcPr>
          <w:p w:rsidR="00657426" w:rsidRPr="008206CC" w:rsidRDefault="00657426" w:rsidP="00986537">
            <w:pPr>
              <w:spacing w:line="480" w:lineRule="auto"/>
              <w:rPr>
                <w:b/>
                <w:i/>
              </w:rPr>
            </w:pPr>
            <w:r w:rsidRPr="008206CC">
              <w:rPr>
                <w:b/>
                <w:i/>
              </w:rPr>
              <w:t>p = 0.0002</w:t>
            </w:r>
          </w:p>
        </w:tc>
        <w:tc>
          <w:tcPr>
            <w:tcW w:w="2290" w:type="dxa"/>
          </w:tcPr>
          <w:p w:rsidR="00657426" w:rsidRPr="00297C9A" w:rsidRDefault="00657426" w:rsidP="00986537">
            <w:pPr>
              <w:spacing w:line="480" w:lineRule="auto"/>
              <w:rPr>
                <w:i/>
              </w:rPr>
            </w:pPr>
            <w:r w:rsidRPr="00297C9A">
              <w:rPr>
                <w:i/>
              </w:rPr>
              <w:t>NS (p = 0.07)</w:t>
            </w:r>
          </w:p>
        </w:tc>
        <w:tc>
          <w:tcPr>
            <w:tcW w:w="2290" w:type="dxa"/>
          </w:tcPr>
          <w:p w:rsidR="00657426" w:rsidRPr="00297C9A" w:rsidRDefault="00657426" w:rsidP="00986537">
            <w:pPr>
              <w:spacing w:line="480" w:lineRule="auto"/>
              <w:rPr>
                <w:i/>
              </w:rPr>
            </w:pPr>
            <w:r w:rsidRPr="00297C9A">
              <w:rPr>
                <w:i/>
              </w:rPr>
              <w:t>NS (p = 0.24)</w:t>
            </w:r>
          </w:p>
        </w:tc>
      </w:tr>
      <w:tr w:rsidR="00657426">
        <w:tc>
          <w:tcPr>
            <w:tcW w:w="2706" w:type="dxa"/>
          </w:tcPr>
          <w:p w:rsidR="00657426" w:rsidRDefault="00657426" w:rsidP="00986537">
            <w:pPr>
              <w:spacing w:line="480" w:lineRule="auto"/>
            </w:pPr>
            <w:r>
              <w:t>Mobility</w:t>
            </w:r>
          </w:p>
        </w:tc>
        <w:tc>
          <w:tcPr>
            <w:tcW w:w="2290" w:type="dxa"/>
          </w:tcPr>
          <w:p w:rsidR="00657426" w:rsidRPr="00297C9A" w:rsidRDefault="00657426" w:rsidP="00986537">
            <w:pPr>
              <w:spacing w:line="480" w:lineRule="auto"/>
              <w:rPr>
                <w:i/>
              </w:rPr>
            </w:pPr>
            <w:r w:rsidRPr="00297C9A">
              <w:rPr>
                <w:i/>
              </w:rPr>
              <w:t>NS (p = 0.20)</w:t>
            </w:r>
          </w:p>
        </w:tc>
        <w:tc>
          <w:tcPr>
            <w:tcW w:w="2290" w:type="dxa"/>
          </w:tcPr>
          <w:p w:rsidR="00657426" w:rsidRPr="00297C9A" w:rsidRDefault="00657426" w:rsidP="00986537">
            <w:pPr>
              <w:spacing w:line="480" w:lineRule="auto"/>
              <w:rPr>
                <w:i/>
              </w:rPr>
            </w:pPr>
            <w:r w:rsidRPr="00297C9A">
              <w:rPr>
                <w:i/>
              </w:rPr>
              <w:t>NS (p = 0.18)</w:t>
            </w:r>
          </w:p>
        </w:tc>
        <w:tc>
          <w:tcPr>
            <w:tcW w:w="2290" w:type="dxa"/>
          </w:tcPr>
          <w:p w:rsidR="00657426" w:rsidRPr="00297C9A" w:rsidRDefault="00657426" w:rsidP="00986537">
            <w:pPr>
              <w:spacing w:line="480" w:lineRule="auto"/>
              <w:rPr>
                <w:i/>
              </w:rPr>
            </w:pPr>
            <w:r w:rsidRPr="00297C9A">
              <w:rPr>
                <w:i/>
              </w:rPr>
              <w:t>NS (p = 0.17)</w:t>
            </w:r>
          </w:p>
        </w:tc>
      </w:tr>
      <w:tr w:rsidR="00657426">
        <w:tc>
          <w:tcPr>
            <w:tcW w:w="2706" w:type="dxa"/>
          </w:tcPr>
          <w:p w:rsidR="00657426" w:rsidRDefault="00657426" w:rsidP="00986537">
            <w:pPr>
              <w:spacing w:line="480" w:lineRule="auto"/>
            </w:pPr>
            <w:r>
              <w:t>Population Size</w:t>
            </w:r>
          </w:p>
        </w:tc>
        <w:tc>
          <w:tcPr>
            <w:tcW w:w="2290" w:type="dxa"/>
          </w:tcPr>
          <w:p w:rsidR="00657426" w:rsidRPr="00297C9A" w:rsidRDefault="00657426" w:rsidP="00986537">
            <w:pPr>
              <w:spacing w:line="480" w:lineRule="auto"/>
              <w:rPr>
                <w:i/>
              </w:rPr>
            </w:pPr>
            <w:r w:rsidRPr="00297C9A">
              <w:rPr>
                <w:i/>
              </w:rPr>
              <w:t>NS (p = 0.24)</w:t>
            </w:r>
          </w:p>
        </w:tc>
        <w:tc>
          <w:tcPr>
            <w:tcW w:w="2290" w:type="dxa"/>
          </w:tcPr>
          <w:p w:rsidR="00657426" w:rsidRPr="008206CC" w:rsidRDefault="00657426" w:rsidP="00986537">
            <w:pPr>
              <w:spacing w:line="480" w:lineRule="auto"/>
              <w:rPr>
                <w:b/>
                <w:i/>
              </w:rPr>
            </w:pPr>
            <w:r w:rsidRPr="008206CC">
              <w:rPr>
                <w:b/>
                <w:i/>
              </w:rPr>
              <w:t>p = 0.035</w:t>
            </w:r>
          </w:p>
        </w:tc>
        <w:tc>
          <w:tcPr>
            <w:tcW w:w="2290" w:type="dxa"/>
          </w:tcPr>
          <w:p w:rsidR="00657426" w:rsidRPr="008206CC" w:rsidRDefault="00657426" w:rsidP="00986537">
            <w:pPr>
              <w:spacing w:line="480" w:lineRule="auto"/>
              <w:rPr>
                <w:b/>
                <w:i/>
              </w:rPr>
            </w:pPr>
            <w:r w:rsidRPr="008206CC">
              <w:rPr>
                <w:b/>
                <w:i/>
              </w:rPr>
              <w:t>p = 0.0206</w:t>
            </w:r>
          </w:p>
        </w:tc>
      </w:tr>
      <w:tr w:rsidR="00657426">
        <w:tc>
          <w:tcPr>
            <w:tcW w:w="2706" w:type="dxa"/>
          </w:tcPr>
          <w:p w:rsidR="00657426" w:rsidRDefault="00657426" w:rsidP="00986537">
            <w:pPr>
              <w:spacing w:line="480" w:lineRule="auto"/>
            </w:pPr>
            <w:r>
              <w:t>Population Density</w:t>
            </w:r>
          </w:p>
        </w:tc>
        <w:tc>
          <w:tcPr>
            <w:tcW w:w="2290" w:type="dxa"/>
          </w:tcPr>
          <w:p w:rsidR="00657426" w:rsidRPr="008206CC" w:rsidRDefault="00657426" w:rsidP="00986537">
            <w:pPr>
              <w:spacing w:line="480" w:lineRule="auto"/>
              <w:rPr>
                <w:b/>
                <w:i/>
              </w:rPr>
            </w:pPr>
            <w:r w:rsidRPr="008206CC">
              <w:rPr>
                <w:b/>
                <w:i/>
              </w:rPr>
              <w:t>p = 0.021</w:t>
            </w:r>
          </w:p>
        </w:tc>
        <w:tc>
          <w:tcPr>
            <w:tcW w:w="2290" w:type="dxa"/>
          </w:tcPr>
          <w:p w:rsidR="00657426" w:rsidRPr="008206CC" w:rsidRDefault="00657426" w:rsidP="00986537">
            <w:pPr>
              <w:spacing w:line="480" w:lineRule="auto"/>
              <w:rPr>
                <w:b/>
                <w:i/>
              </w:rPr>
            </w:pPr>
            <w:r w:rsidRPr="008206CC">
              <w:rPr>
                <w:b/>
                <w:i/>
              </w:rPr>
              <w:t>p = 0.022</w:t>
            </w:r>
          </w:p>
        </w:tc>
        <w:tc>
          <w:tcPr>
            <w:tcW w:w="2290" w:type="dxa"/>
          </w:tcPr>
          <w:p w:rsidR="00657426" w:rsidRPr="008206CC" w:rsidRDefault="00657426" w:rsidP="00986537">
            <w:pPr>
              <w:spacing w:line="480" w:lineRule="auto"/>
              <w:rPr>
                <w:b/>
                <w:i/>
              </w:rPr>
            </w:pPr>
            <w:r w:rsidRPr="008206CC">
              <w:rPr>
                <w:b/>
                <w:i/>
              </w:rPr>
              <w:t>p = 0.0376</w:t>
            </w:r>
          </w:p>
        </w:tc>
      </w:tr>
    </w:tbl>
    <w:p w:rsidR="00657426" w:rsidRDefault="00657426" w:rsidP="00986537">
      <w:pPr>
        <w:spacing w:line="480" w:lineRule="auto"/>
      </w:pPr>
    </w:p>
    <w:p w:rsidR="00657426" w:rsidRDefault="00657426" w:rsidP="00986537">
      <w:pPr>
        <w:spacing w:line="480" w:lineRule="auto"/>
        <w:ind w:firstLine="576"/>
      </w:pPr>
      <w:r>
        <w:t>We do not reproduce the demographic findings that Urban (2010) identified for unique beginner terms, which implied that linguistic processes may affect different ethnobiological terms in different ways. Urban (2010:218) found that societies with the smallest populations tended to lack unique beginner terms, for example.</w:t>
      </w:r>
      <w:r>
        <w:rPr>
          <w:rStyle w:val="EndnoteReference"/>
        </w:rPr>
        <w:endnoteReference w:id="9"/>
      </w:r>
      <w:r>
        <w:t xml:space="preserve"> We should note that all the societies considered in this study would be considered ‘small’ in most surveys, with all but three groups in South America having populations of fewer than 5,000 individuals. Nor do we find the same patterns that drive loans in basic vocabulary. Bowern </w:t>
      </w:r>
      <w:r w:rsidRPr="00E77C8B">
        <w:lastRenderedPageBreak/>
        <w:t>et al</w:t>
      </w:r>
      <w:r>
        <w:t>.</w:t>
      </w:r>
      <w:r>
        <w:rPr>
          <w:i/>
        </w:rPr>
        <w:t xml:space="preserve"> </w:t>
      </w:r>
      <w:r>
        <w:t xml:space="preserve">(2011) found that mobility was a significant predictor of loan levels in basic vocabulary, though this is not significant for flora/fauna vocabulary. </w:t>
      </w:r>
    </w:p>
    <w:p w:rsidR="00657426" w:rsidRDefault="00657426" w:rsidP="00986537">
      <w:pPr>
        <w:spacing w:line="480" w:lineRule="auto"/>
        <w:ind w:firstLine="576"/>
      </w:pPr>
      <w:r>
        <w:t xml:space="preserve">The patterns reported in Table 2 are puzzling and in many cases unexpected; for example, it is not clear why exogamy should predict fewer loans, when it increases the opportunities for language contact through both multilingual individuals and by creating opportunities for multilingual interaction. Indeed, exogamy was a significant predictor of high loan levels in basic vocabulary. However, if flora/fauna words are particularly associated with individual groups, they might serve as a signal of group identity and thus borrowing might be impeded in situations where group affiliation is reliably and frequently signaled through language, as is the case where linguistic exogamy is </w:t>
      </w:r>
      <w:r w:rsidRPr="00502F42">
        <w:t>high. We have no explanation for the population density results, however, and why they should be significant for flora/fauna vocabulary but not for basic vocabulary. It is possible that broad demographic</w:t>
      </w:r>
      <w:r>
        <w:t xml:space="preserve"> characteristics of populations are masking other effects. Roberts and Winters </w:t>
      </w:r>
      <w:r>
        <w:rPr>
          <w:noProof/>
        </w:rPr>
        <w:t>(2012)</w:t>
      </w:r>
      <w:r>
        <w:t xml:space="preserve"> provide a number of cautionary examples of robust but clearly spurious correlations between social and linguistic variables and point out the difficulties of working with demographic patterns when links are causally intuitive. </w:t>
      </w:r>
    </w:p>
    <w:p w:rsidR="00657426" w:rsidRDefault="00657426" w:rsidP="00986537">
      <w:pPr>
        <w:spacing w:line="480" w:lineRule="auto"/>
      </w:pPr>
    </w:p>
    <w:p w:rsidR="00657426" w:rsidRDefault="00657426" w:rsidP="00986537">
      <w:pPr>
        <w:pStyle w:val="Heading2"/>
        <w:suppressAutoHyphens w:val="0"/>
        <w:autoSpaceDE w:val="0"/>
        <w:adjustRightInd w:val="0"/>
        <w:spacing w:line="480" w:lineRule="auto"/>
        <w:ind w:left="576" w:hanging="576"/>
        <w:textAlignment w:val="auto"/>
      </w:pPr>
      <w:r>
        <w:t>Patterns in Borrowing Domains</w:t>
      </w:r>
    </w:p>
    <w:p w:rsidR="00657426" w:rsidRDefault="00657426" w:rsidP="00986537">
      <w:pPr>
        <w:spacing w:line="480" w:lineRule="auto"/>
      </w:pPr>
      <w:r>
        <w:t xml:space="preserve">The figure below gives the overall pattern of loan rates by species in each of the three case study areas. As shown in Figure 4 </w:t>
      </w:r>
      <w:r w:rsidRPr="00F71C05">
        <w:t xml:space="preserve">and </w:t>
      </w:r>
      <w:r w:rsidRPr="003A0F42">
        <w:t xml:space="preserve">Table </w:t>
      </w:r>
      <w:r w:rsidR="006E5952">
        <w:t>3</w:t>
      </w:r>
      <w:r w:rsidRPr="00F71C05">
        <w:t>,</w:t>
      </w:r>
      <w:r>
        <w:t xml:space="preserve"> most flora/fauna items are not loaned. Table </w:t>
      </w:r>
      <w:r w:rsidR="00124838">
        <w:t>3</w:t>
      </w:r>
      <w:r>
        <w:t xml:space="preserve"> gives the loan rates overall and by case study area for each flora/fauna item.</w:t>
      </w:r>
    </w:p>
    <w:p w:rsidR="00657426" w:rsidRDefault="00657426" w:rsidP="00986537">
      <w:pPr>
        <w:spacing w:line="480" w:lineRule="auto"/>
      </w:pPr>
    </w:p>
    <w:p w:rsidR="00657426" w:rsidRDefault="00657426" w:rsidP="00986537">
      <w:pPr>
        <w:keepNext/>
        <w:spacing w:line="480" w:lineRule="auto"/>
      </w:pPr>
      <w:r>
        <w:rPr>
          <w:noProof/>
        </w:rPr>
        <w:lastRenderedPageBreak/>
        <w:drawing>
          <wp:inline distT="0" distB="0" distL="0" distR="0">
            <wp:extent cx="29718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freq CSA.pd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2971800"/>
                    </a:xfrm>
                    <a:prstGeom prst="rect">
                      <a:avLst/>
                    </a:prstGeom>
                  </pic:spPr>
                </pic:pic>
              </a:graphicData>
            </a:graphic>
          </wp:inline>
        </w:drawing>
      </w:r>
    </w:p>
    <w:p w:rsidR="00657426" w:rsidRDefault="00657426" w:rsidP="00986537">
      <w:pPr>
        <w:pStyle w:val="Caption"/>
        <w:spacing w:line="480" w:lineRule="auto"/>
      </w:pPr>
      <w:r>
        <w:t xml:space="preserve">Figure </w:t>
      </w:r>
      <w:r w:rsidR="00590C4E">
        <w:fldChar w:fldCharType="begin"/>
      </w:r>
      <w:r w:rsidR="0083600B">
        <w:instrText xml:space="preserve"> SEQ Figure \* ARABIC </w:instrText>
      </w:r>
      <w:r w:rsidR="00590C4E">
        <w:fldChar w:fldCharType="separate"/>
      </w:r>
      <w:r w:rsidR="00367B50">
        <w:rPr>
          <w:noProof/>
        </w:rPr>
        <w:t>4</w:t>
      </w:r>
      <w:r w:rsidR="00590C4E">
        <w:rPr>
          <w:noProof/>
        </w:rPr>
        <w:fldChar w:fldCharType="end"/>
      </w:r>
      <w:r>
        <w:t xml:space="preserve"> Item loan frequency in each case study area</w:t>
      </w:r>
    </w:p>
    <w:p w:rsidR="00657426" w:rsidRDefault="00657426" w:rsidP="00986537">
      <w:pPr>
        <w:spacing w:line="480" w:lineRule="auto"/>
      </w:pPr>
      <w:r>
        <w:tab/>
      </w:r>
    </w:p>
    <w:p w:rsidR="00657426" w:rsidRDefault="00657426" w:rsidP="00986537">
      <w:pPr>
        <w:pStyle w:val="Caption"/>
        <w:keepNext/>
        <w:spacing w:line="480" w:lineRule="auto"/>
      </w:pPr>
      <w:r>
        <w:t xml:space="preserve">Table </w:t>
      </w:r>
      <w:r w:rsidR="00590C4E">
        <w:fldChar w:fldCharType="begin"/>
      </w:r>
      <w:r w:rsidR="0083600B">
        <w:instrText xml:space="preserve"> SEQ Table \* ARABIC </w:instrText>
      </w:r>
      <w:r w:rsidR="00590C4E">
        <w:fldChar w:fldCharType="separate"/>
      </w:r>
      <w:r w:rsidR="00367B50">
        <w:rPr>
          <w:noProof/>
        </w:rPr>
        <w:t>3</w:t>
      </w:r>
      <w:r w:rsidR="00590C4E">
        <w:rPr>
          <w:noProof/>
        </w:rPr>
        <w:fldChar w:fldCharType="end"/>
      </w:r>
      <w:r>
        <w:t xml:space="preserve"> Borrowing rate statistics by item</w:t>
      </w:r>
    </w:p>
    <w:tbl>
      <w:tblPr>
        <w:tblStyle w:val="TableGrid"/>
        <w:tblW w:w="7420" w:type="dxa"/>
        <w:tblLook w:val="0000"/>
      </w:tblPr>
      <w:tblGrid>
        <w:gridCol w:w="2400"/>
        <w:gridCol w:w="1420"/>
        <w:gridCol w:w="820"/>
        <w:gridCol w:w="860"/>
        <w:gridCol w:w="1920"/>
      </w:tblGrid>
      <w:tr w:rsidR="00657426" w:rsidRPr="006713FC">
        <w:tc>
          <w:tcPr>
            <w:tcW w:w="2400" w:type="dxa"/>
          </w:tcPr>
          <w:p w:rsidR="00657426" w:rsidRPr="006713FC" w:rsidRDefault="00657426" w:rsidP="00986537">
            <w:pPr>
              <w:keepNext/>
              <w:keepLines/>
              <w:spacing w:line="480" w:lineRule="auto"/>
              <w:rPr>
                <w:b/>
                <w:bCs/>
              </w:rPr>
            </w:pPr>
          </w:p>
        </w:tc>
        <w:tc>
          <w:tcPr>
            <w:tcW w:w="1420" w:type="dxa"/>
          </w:tcPr>
          <w:p w:rsidR="00657426" w:rsidRPr="006713FC" w:rsidRDefault="00657426" w:rsidP="00986537">
            <w:pPr>
              <w:keepNext/>
              <w:keepLines/>
              <w:spacing w:line="480" w:lineRule="auto"/>
              <w:rPr>
                <w:b/>
                <w:bCs/>
              </w:rPr>
            </w:pPr>
            <w:r>
              <w:rPr>
                <w:b/>
                <w:bCs/>
              </w:rPr>
              <w:t>All</w:t>
            </w:r>
          </w:p>
        </w:tc>
        <w:tc>
          <w:tcPr>
            <w:tcW w:w="820" w:type="dxa"/>
          </w:tcPr>
          <w:p w:rsidR="00657426" w:rsidRPr="006713FC" w:rsidRDefault="00657426" w:rsidP="00986537">
            <w:pPr>
              <w:keepNext/>
              <w:keepLines/>
              <w:spacing w:line="480" w:lineRule="auto"/>
              <w:rPr>
                <w:b/>
                <w:bCs/>
              </w:rPr>
            </w:pPr>
            <w:r w:rsidRPr="00D357F8">
              <w:rPr>
                <w:b/>
                <w:bCs/>
              </w:rPr>
              <w:t>AUS</w:t>
            </w:r>
          </w:p>
        </w:tc>
        <w:tc>
          <w:tcPr>
            <w:tcW w:w="860" w:type="dxa"/>
          </w:tcPr>
          <w:p w:rsidR="00657426" w:rsidRPr="006713FC" w:rsidRDefault="00657426" w:rsidP="00986537">
            <w:pPr>
              <w:keepNext/>
              <w:keepLines/>
              <w:spacing w:line="480" w:lineRule="auto"/>
              <w:rPr>
                <w:b/>
                <w:bCs/>
              </w:rPr>
            </w:pPr>
            <w:r w:rsidRPr="00D357F8">
              <w:rPr>
                <w:b/>
                <w:bCs/>
              </w:rPr>
              <w:t>SAM</w:t>
            </w:r>
          </w:p>
        </w:tc>
        <w:tc>
          <w:tcPr>
            <w:tcW w:w="1920" w:type="dxa"/>
          </w:tcPr>
          <w:p w:rsidR="00657426" w:rsidRPr="006713FC" w:rsidRDefault="00657426" w:rsidP="00986537">
            <w:pPr>
              <w:keepNext/>
              <w:keepLines/>
              <w:spacing w:line="480" w:lineRule="auto"/>
              <w:rPr>
                <w:b/>
                <w:bCs/>
              </w:rPr>
            </w:pPr>
            <w:r w:rsidRPr="00D357F8">
              <w:rPr>
                <w:b/>
                <w:bCs/>
              </w:rPr>
              <w:t>NAM</w:t>
            </w:r>
          </w:p>
        </w:tc>
      </w:tr>
      <w:tr w:rsidR="00657426" w:rsidRPr="006713FC">
        <w:tc>
          <w:tcPr>
            <w:tcW w:w="2400" w:type="dxa"/>
          </w:tcPr>
          <w:p w:rsidR="00657426" w:rsidRPr="006713FC" w:rsidRDefault="00657426" w:rsidP="00986537">
            <w:pPr>
              <w:keepNext/>
              <w:keepLines/>
              <w:spacing w:line="480" w:lineRule="auto"/>
              <w:rPr>
                <w:b/>
                <w:bCs/>
              </w:rPr>
            </w:pPr>
            <w:r w:rsidRPr="00D357F8">
              <w:rPr>
                <w:b/>
                <w:bCs/>
              </w:rPr>
              <w:t>Minimum</w:t>
            </w:r>
          </w:p>
        </w:tc>
        <w:tc>
          <w:tcPr>
            <w:tcW w:w="1420" w:type="dxa"/>
          </w:tcPr>
          <w:p w:rsidR="00657426" w:rsidRPr="006713FC" w:rsidRDefault="00657426" w:rsidP="00986537">
            <w:pPr>
              <w:keepNext/>
              <w:keepLines/>
              <w:spacing w:line="480" w:lineRule="auto"/>
            </w:pPr>
            <w:r w:rsidRPr="00D357F8">
              <w:t>0</w:t>
            </w:r>
            <w:r>
              <w:t>.0</w:t>
            </w:r>
          </w:p>
        </w:tc>
        <w:tc>
          <w:tcPr>
            <w:tcW w:w="820" w:type="dxa"/>
          </w:tcPr>
          <w:p w:rsidR="00657426" w:rsidRPr="006713FC" w:rsidRDefault="00657426" w:rsidP="00986537">
            <w:pPr>
              <w:keepNext/>
              <w:keepLines/>
              <w:spacing w:line="480" w:lineRule="auto"/>
            </w:pPr>
            <w:r w:rsidRPr="00D357F8">
              <w:t>0</w:t>
            </w:r>
            <w:r>
              <w:t>.0</w:t>
            </w:r>
          </w:p>
        </w:tc>
        <w:tc>
          <w:tcPr>
            <w:tcW w:w="860" w:type="dxa"/>
          </w:tcPr>
          <w:p w:rsidR="00657426" w:rsidRPr="006713FC" w:rsidRDefault="00657426" w:rsidP="00986537">
            <w:pPr>
              <w:keepNext/>
              <w:keepLines/>
              <w:spacing w:line="480" w:lineRule="auto"/>
            </w:pPr>
            <w:r w:rsidRPr="00D357F8">
              <w:t>0</w:t>
            </w:r>
            <w:r>
              <w:t>.0</w:t>
            </w:r>
          </w:p>
        </w:tc>
        <w:tc>
          <w:tcPr>
            <w:tcW w:w="1920" w:type="dxa"/>
          </w:tcPr>
          <w:p w:rsidR="00657426" w:rsidRPr="006713FC" w:rsidRDefault="00657426" w:rsidP="00986537">
            <w:pPr>
              <w:keepNext/>
              <w:keepLines/>
              <w:spacing w:line="480" w:lineRule="auto"/>
            </w:pPr>
            <w:r w:rsidRPr="00D357F8">
              <w:t>0</w:t>
            </w:r>
            <w:r>
              <w:t>.0</w:t>
            </w:r>
          </w:p>
        </w:tc>
      </w:tr>
      <w:tr w:rsidR="00657426" w:rsidRPr="006713FC">
        <w:tc>
          <w:tcPr>
            <w:tcW w:w="2400" w:type="dxa"/>
          </w:tcPr>
          <w:p w:rsidR="00657426" w:rsidRPr="006713FC" w:rsidRDefault="00657426" w:rsidP="00986537">
            <w:pPr>
              <w:keepNext/>
              <w:keepLines/>
              <w:spacing w:line="480" w:lineRule="auto"/>
              <w:rPr>
                <w:b/>
                <w:bCs/>
              </w:rPr>
            </w:pPr>
            <w:r w:rsidRPr="00D357F8">
              <w:rPr>
                <w:b/>
                <w:bCs/>
              </w:rPr>
              <w:t>Mean</w:t>
            </w:r>
          </w:p>
        </w:tc>
        <w:tc>
          <w:tcPr>
            <w:tcW w:w="1420" w:type="dxa"/>
          </w:tcPr>
          <w:p w:rsidR="00657426" w:rsidRPr="006713FC" w:rsidRDefault="00657426" w:rsidP="00986537">
            <w:pPr>
              <w:keepNext/>
              <w:keepLines/>
              <w:spacing w:line="480" w:lineRule="auto"/>
            </w:pPr>
            <w:r>
              <w:t>0.0</w:t>
            </w:r>
            <w:r w:rsidRPr="00D357F8">
              <w:t>8</w:t>
            </w:r>
          </w:p>
        </w:tc>
        <w:tc>
          <w:tcPr>
            <w:tcW w:w="820" w:type="dxa"/>
          </w:tcPr>
          <w:p w:rsidR="00657426" w:rsidRPr="006713FC" w:rsidRDefault="00657426" w:rsidP="00986537">
            <w:pPr>
              <w:keepNext/>
              <w:keepLines/>
              <w:spacing w:line="480" w:lineRule="auto"/>
            </w:pPr>
            <w:r>
              <w:t>0.0</w:t>
            </w:r>
            <w:r w:rsidRPr="00D357F8">
              <w:t>9</w:t>
            </w:r>
          </w:p>
        </w:tc>
        <w:tc>
          <w:tcPr>
            <w:tcW w:w="860" w:type="dxa"/>
          </w:tcPr>
          <w:p w:rsidR="00657426" w:rsidRPr="006713FC" w:rsidRDefault="00657426" w:rsidP="00986537">
            <w:pPr>
              <w:keepNext/>
              <w:keepLines/>
              <w:spacing w:line="480" w:lineRule="auto"/>
            </w:pPr>
            <w:r>
              <w:t>0.0</w:t>
            </w:r>
            <w:r w:rsidRPr="00D357F8">
              <w:t>6</w:t>
            </w:r>
          </w:p>
        </w:tc>
        <w:tc>
          <w:tcPr>
            <w:tcW w:w="1920" w:type="dxa"/>
          </w:tcPr>
          <w:p w:rsidR="00657426" w:rsidRPr="006713FC" w:rsidRDefault="00657426" w:rsidP="00986537">
            <w:pPr>
              <w:keepNext/>
              <w:keepLines/>
              <w:spacing w:line="480" w:lineRule="auto"/>
            </w:pPr>
            <w:r>
              <w:t>0.0</w:t>
            </w:r>
            <w:r w:rsidRPr="00D357F8">
              <w:t>9</w:t>
            </w:r>
          </w:p>
        </w:tc>
      </w:tr>
      <w:tr w:rsidR="00657426" w:rsidRPr="006713FC">
        <w:tc>
          <w:tcPr>
            <w:tcW w:w="2400" w:type="dxa"/>
          </w:tcPr>
          <w:p w:rsidR="00657426" w:rsidRPr="006713FC" w:rsidRDefault="00657426" w:rsidP="00986537">
            <w:pPr>
              <w:keepNext/>
              <w:keepLines/>
              <w:spacing w:line="480" w:lineRule="auto"/>
              <w:rPr>
                <w:b/>
                <w:bCs/>
              </w:rPr>
            </w:pPr>
            <w:r w:rsidRPr="00D357F8">
              <w:rPr>
                <w:b/>
                <w:bCs/>
              </w:rPr>
              <w:t>Median</w:t>
            </w:r>
          </w:p>
        </w:tc>
        <w:tc>
          <w:tcPr>
            <w:tcW w:w="1420" w:type="dxa"/>
          </w:tcPr>
          <w:p w:rsidR="00657426" w:rsidRPr="006713FC" w:rsidRDefault="00657426" w:rsidP="00986537">
            <w:pPr>
              <w:keepNext/>
              <w:keepLines/>
              <w:spacing w:line="480" w:lineRule="auto"/>
            </w:pPr>
            <w:r>
              <w:t>0.0</w:t>
            </w:r>
            <w:r w:rsidRPr="00D357F8">
              <w:t>6</w:t>
            </w:r>
          </w:p>
        </w:tc>
        <w:tc>
          <w:tcPr>
            <w:tcW w:w="820" w:type="dxa"/>
          </w:tcPr>
          <w:p w:rsidR="00657426" w:rsidRPr="006713FC" w:rsidRDefault="00657426" w:rsidP="00986537">
            <w:pPr>
              <w:keepNext/>
              <w:keepLines/>
              <w:spacing w:line="480" w:lineRule="auto"/>
            </w:pPr>
            <w:r>
              <w:t>0.0</w:t>
            </w:r>
            <w:r w:rsidRPr="00D357F8">
              <w:t>8</w:t>
            </w:r>
          </w:p>
        </w:tc>
        <w:tc>
          <w:tcPr>
            <w:tcW w:w="860" w:type="dxa"/>
          </w:tcPr>
          <w:p w:rsidR="00657426" w:rsidRPr="006713FC" w:rsidRDefault="00657426" w:rsidP="00986537">
            <w:pPr>
              <w:keepNext/>
              <w:keepLines/>
              <w:spacing w:line="480" w:lineRule="auto"/>
            </w:pPr>
            <w:r>
              <w:t>0.0</w:t>
            </w:r>
            <w:r w:rsidRPr="00D357F8">
              <w:t>3</w:t>
            </w:r>
          </w:p>
        </w:tc>
        <w:tc>
          <w:tcPr>
            <w:tcW w:w="1920" w:type="dxa"/>
          </w:tcPr>
          <w:p w:rsidR="00657426" w:rsidRPr="006713FC" w:rsidRDefault="00657426" w:rsidP="00986537">
            <w:pPr>
              <w:keepNext/>
              <w:keepLines/>
              <w:spacing w:line="480" w:lineRule="auto"/>
            </w:pPr>
            <w:r>
              <w:t>0.0</w:t>
            </w:r>
            <w:r w:rsidRPr="00D357F8">
              <w:t>7</w:t>
            </w:r>
          </w:p>
        </w:tc>
      </w:tr>
      <w:tr w:rsidR="00657426" w:rsidRPr="006713FC">
        <w:tc>
          <w:tcPr>
            <w:tcW w:w="2400" w:type="dxa"/>
          </w:tcPr>
          <w:p w:rsidR="00657426" w:rsidRPr="006713FC" w:rsidRDefault="00657426" w:rsidP="00986537">
            <w:pPr>
              <w:keepNext/>
              <w:keepLines/>
              <w:spacing w:line="480" w:lineRule="auto"/>
              <w:rPr>
                <w:b/>
                <w:bCs/>
              </w:rPr>
            </w:pPr>
            <w:r w:rsidRPr="00D357F8">
              <w:rPr>
                <w:b/>
                <w:bCs/>
              </w:rPr>
              <w:t>Maximum</w:t>
            </w:r>
          </w:p>
        </w:tc>
        <w:tc>
          <w:tcPr>
            <w:tcW w:w="1420" w:type="dxa"/>
          </w:tcPr>
          <w:p w:rsidR="00657426" w:rsidRPr="006713FC" w:rsidRDefault="00657426" w:rsidP="00986537">
            <w:pPr>
              <w:keepNext/>
              <w:keepLines/>
              <w:spacing w:line="480" w:lineRule="auto"/>
            </w:pPr>
            <w:r w:rsidRPr="00D357F8">
              <w:t>1</w:t>
            </w:r>
            <w:r>
              <w:t>.0</w:t>
            </w:r>
          </w:p>
        </w:tc>
        <w:tc>
          <w:tcPr>
            <w:tcW w:w="820" w:type="dxa"/>
          </w:tcPr>
          <w:p w:rsidR="00657426" w:rsidRPr="006713FC" w:rsidRDefault="00657426" w:rsidP="00986537">
            <w:pPr>
              <w:keepNext/>
              <w:keepLines/>
              <w:spacing w:line="480" w:lineRule="auto"/>
            </w:pPr>
            <w:r>
              <w:t>0.</w:t>
            </w:r>
            <w:r w:rsidRPr="00D357F8">
              <w:t>8</w:t>
            </w:r>
          </w:p>
        </w:tc>
        <w:tc>
          <w:tcPr>
            <w:tcW w:w="860" w:type="dxa"/>
          </w:tcPr>
          <w:p w:rsidR="00657426" w:rsidRPr="006713FC" w:rsidRDefault="00657426" w:rsidP="00986537">
            <w:pPr>
              <w:keepNext/>
              <w:keepLines/>
              <w:spacing w:line="480" w:lineRule="auto"/>
            </w:pPr>
            <w:r w:rsidRPr="00D357F8">
              <w:t>1</w:t>
            </w:r>
            <w:r>
              <w:t>.0</w:t>
            </w:r>
          </w:p>
        </w:tc>
        <w:tc>
          <w:tcPr>
            <w:tcW w:w="1920" w:type="dxa"/>
          </w:tcPr>
          <w:p w:rsidR="00657426" w:rsidRPr="006713FC" w:rsidRDefault="00657426" w:rsidP="00986537">
            <w:pPr>
              <w:keepNext/>
              <w:keepLines/>
              <w:spacing w:line="480" w:lineRule="auto"/>
            </w:pPr>
            <w:r>
              <w:t>0.</w:t>
            </w:r>
            <w:r w:rsidRPr="00D357F8">
              <w:t>6</w:t>
            </w:r>
          </w:p>
        </w:tc>
      </w:tr>
    </w:tbl>
    <w:p w:rsidR="00657426" w:rsidRDefault="00657426" w:rsidP="00986537">
      <w:pPr>
        <w:spacing w:line="480" w:lineRule="auto"/>
      </w:pPr>
    </w:p>
    <w:p w:rsidR="00657426" w:rsidRDefault="00657426" w:rsidP="00986537">
      <w:pPr>
        <w:spacing w:line="480" w:lineRule="auto"/>
      </w:pPr>
    </w:p>
    <w:p w:rsidR="00657426" w:rsidRDefault="00657426" w:rsidP="00986537">
      <w:pPr>
        <w:spacing w:line="480" w:lineRule="auto"/>
        <w:ind w:firstLine="720"/>
      </w:pPr>
      <w:r>
        <w:t>The most frequently loaned word in all three case study areas was the word for ‘horse’ (</w:t>
      </w:r>
      <w:proofErr w:type="spellStart"/>
      <w:r>
        <w:rPr>
          <w:i/>
        </w:rPr>
        <w:t>Equus</w:t>
      </w:r>
      <w:proofErr w:type="spellEnd"/>
      <w:r>
        <w:rPr>
          <w:i/>
        </w:rPr>
        <w:t xml:space="preserve"> </w:t>
      </w:r>
      <w:proofErr w:type="spellStart"/>
      <w:r>
        <w:rPr>
          <w:i/>
        </w:rPr>
        <w:t>caballus</w:t>
      </w:r>
      <w:proofErr w:type="spellEnd"/>
      <w:r>
        <w:t xml:space="preserve">), with loan rate of 100%. As an acculturation term, its high loan status is unsurprising </w:t>
      </w:r>
      <w:r>
        <w:rPr>
          <w:noProof/>
        </w:rPr>
        <w:t>(see, for example, Brown 1999:21)</w:t>
      </w:r>
      <w:r>
        <w:t xml:space="preserve">. Note that we did not specifically </w:t>
      </w:r>
      <w:r>
        <w:lastRenderedPageBreak/>
        <w:t>study introduced flora and fauna in this study, though we note that loanwords are not the only strategy used to refer to acculturation items in the case study areas.</w:t>
      </w:r>
    </w:p>
    <w:p w:rsidR="00657426" w:rsidRDefault="00657426" w:rsidP="00986537">
      <w:pPr>
        <w:spacing w:line="480" w:lineRule="auto"/>
        <w:ind w:firstLine="720"/>
      </w:pPr>
      <w:r>
        <w:t xml:space="preserve">Within North America, the most frequently loaned items (apart from horse) are </w:t>
      </w:r>
      <w:proofErr w:type="spellStart"/>
      <w:r>
        <w:t>datura</w:t>
      </w:r>
      <w:proofErr w:type="spellEnd"/>
      <w:r>
        <w:t xml:space="preserve">, wild oats, </w:t>
      </w:r>
      <w:proofErr w:type="spellStart"/>
      <w:r>
        <w:t>chia</w:t>
      </w:r>
      <w:proofErr w:type="spellEnd"/>
      <w:r>
        <w:t xml:space="preserve">, and tobacco. </w:t>
      </w:r>
      <w:proofErr w:type="spellStart"/>
      <w:r>
        <w:t>Datura</w:t>
      </w:r>
      <w:proofErr w:type="spellEnd"/>
      <w:r>
        <w:t xml:space="preserve"> (</w:t>
      </w:r>
      <w:proofErr w:type="spellStart"/>
      <w:r w:rsidRPr="00F71C05">
        <w:rPr>
          <w:i/>
        </w:rPr>
        <w:t>Datura</w:t>
      </w:r>
      <w:proofErr w:type="spellEnd"/>
      <w:r w:rsidRPr="00F71C05">
        <w:rPr>
          <w:i/>
        </w:rPr>
        <w:t xml:space="preserve"> </w:t>
      </w:r>
      <w:proofErr w:type="spellStart"/>
      <w:r w:rsidRPr="00F71C05">
        <w:rPr>
          <w:i/>
        </w:rPr>
        <w:t>wrightii</w:t>
      </w:r>
      <w:proofErr w:type="spellEnd"/>
      <w:r>
        <w:t>) and tobacco (</w:t>
      </w:r>
      <w:proofErr w:type="spellStart"/>
      <w:r w:rsidRPr="00F71C05">
        <w:rPr>
          <w:i/>
        </w:rPr>
        <w:t>Nicotiana</w:t>
      </w:r>
      <w:proofErr w:type="spellEnd"/>
      <w:r>
        <w:t xml:space="preserve"> of several species) are both psychotropic plants, with important religious uses in indigenous California. Tobacco plants were closely managed in most groups </w:t>
      </w:r>
      <w:r>
        <w:rPr>
          <w:noProof/>
        </w:rPr>
        <w:t>(see Hill 2011 for a detailed discussion of the loan-word complexes)</w:t>
      </w:r>
      <w:r>
        <w:t>. Wild oats (</w:t>
      </w:r>
      <w:proofErr w:type="spellStart"/>
      <w:r w:rsidRPr="00F71C05">
        <w:rPr>
          <w:i/>
        </w:rPr>
        <w:t>Avena</w:t>
      </w:r>
      <w:proofErr w:type="spellEnd"/>
      <w:r w:rsidRPr="00F71C05">
        <w:rPr>
          <w:i/>
        </w:rPr>
        <w:t xml:space="preserve"> </w:t>
      </w:r>
      <w:proofErr w:type="spellStart"/>
      <w:r w:rsidRPr="00F71C05">
        <w:rPr>
          <w:i/>
        </w:rPr>
        <w:t>fatua</w:t>
      </w:r>
      <w:proofErr w:type="spellEnd"/>
      <w:r>
        <w:t xml:space="preserve">) is an introduced plant that was incorporated into a cuisine that made substantial use of wild grass seeds; the term in California languages is nearly always a loan from Spanish. </w:t>
      </w:r>
      <w:proofErr w:type="spellStart"/>
      <w:r>
        <w:t>Chia</w:t>
      </w:r>
      <w:proofErr w:type="spellEnd"/>
      <w:r>
        <w:t xml:space="preserve"> (</w:t>
      </w:r>
      <w:r w:rsidRPr="00F71C05">
        <w:rPr>
          <w:i/>
        </w:rPr>
        <w:t xml:space="preserve">Salvia </w:t>
      </w:r>
      <w:proofErr w:type="spellStart"/>
      <w:r w:rsidRPr="00F71C05">
        <w:rPr>
          <w:i/>
        </w:rPr>
        <w:t>columbariae</w:t>
      </w:r>
      <w:proofErr w:type="spellEnd"/>
      <w:r>
        <w:t xml:space="preserve">) yields a highly nutritious grain that also had medical uses. Chia was used both as a ceremonial offering and in trade </w:t>
      </w:r>
      <w:r>
        <w:rPr>
          <w:noProof/>
        </w:rPr>
        <w:t>(Lightfoot and Parrish 2009)</w:t>
      </w:r>
      <w:r>
        <w:t xml:space="preserve">, and stands of the plant were carefully managed </w:t>
      </w:r>
      <w:r>
        <w:rPr>
          <w:noProof/>
        </w:rPr>
        <w:t>(Anderson 2005)</w:t>
      </w:r>
      <w:r>
        <w:t xml:space="preserve">. </w:t>
      </w:r>
    </w:p>
    <w:p w:rsidR="00657426" w:rsidRDefault="00657426" w:rsidP="00986537">
      <w:pPr>
        <w:spacing w:line="480" w:lineRule="auto"/>
        <w:ind w:firstLine="720"/>
      </w:pPr>
      <w:r>
        <w:t xml:space="preserve">The most frequently loaned items from Australia are (besides horse) </w:t>
      </w:r>
      <w:proofErr w:type="spellStart"/>
      <w:r>
        <w:t>pearlshell</w:t>
      </w:r>
      <w:proofErr w:type="spellEnd"/>
      <w:r>
        <w:t xml:space="preserve"> (40% of attestations are loans), red river gum (</w:t>
      </w:r>
      <w:r w:rsidRPr="00CD717B">
        <w:rPr>
          <w:i/>
        </w:rPr>
        <w:t xml:space="preserve">Eucalyptus </w:t>
      </w:r>
      <w:proofErr w:type="spellStart"/>
      <w:r w:rsidRPr="00CD717B">
        <w:rPr>
          <w:i/>
        </w:rPr>
        <w:t>camaldulensis</w:t>
      </w:r>
      <w:proofErr w:type="spellEnd"/>
      <w:r>
        <w:t>; 24% loans), bat (23%), freshwater crocodile (</w:t>
      </w:r>
      <w:proofErr w:type="spellStart"/>
      <w:r>
        <w:rPr>
          <w:i/>
        </w:rPr>
        <w:t>Crocodilus</w:t>
      </w:r>
      <w:proofErr w:type="spellEnd"/>
      <w:r>
        <w:rPr>
          <w:i/>
        </w:rPr>
        <w:t xml:space="preserve"> </w:t>
      </w:r>
      <w:proofErr w:type="spellStart"/>
      <w:r>
        <w:rPr>
          <w:i/>
        </w:rPr>
        <w:t>johnstonii</w:t>
      </w:r>
      <w:proofErr w:type="spellEnd"/>
      <w:r>
        <w:t xml:space="preserve">; 23%), and </w:t>
      </w:r>
      <w:proofErr w:type="spellStart"/>
      <w:r>
        <w:t>witchetty</w:t>
      </w:r>
      <w:proofErr w:type="spellEnd"/>
      <w:r>
        <w:t xml:space="preserve"> grub (22%) </w:t>
      </w:r>
      <w:proofErr w:type="spellStart"/>
      <w:r>
        <w:t>Pearlshell</w:t>
      </w:r>
      <w:proofErr w:type="spellEnd"/>
      <w:r>
        <w:t xml:space="preserve"> is a highly traded item across the North of Australia </w:t>
      </w:r>
      <w:r>
        <w:rPr>
          <w:noProof/>
        </w:rPr>
        <w:t>(Akerman and Stanton 1994)</w:t>
      </w:r>
      <w:r>
        <w:t>. The red river gum is loaned in a cluster of languages in the Victoria River District and Kimberley regions of the Northern Territory/Western Australia, where 6 contiguous languages have borrowed the term from one another. The motivations for borrowing this term are unclear at present, given that there is no evidence that the tree (which is widespread across Australia) spread recently in the area. Terms for freshwater crocodile (</w:t>
      </w:r>
      <w:proofErr w:type="spellStart"/>
      <w:r>
        <w:rPr>
          <w:i/>
        </w:rPr>
        <w:t>Crocodilus</w:t>
      </w:r>
      <w:proofErr w:type="spellEnd"/>
      <w:r>
        <w:rPr>
          <w:i/>
        </w:rPr>
        <w:t xml:space="preserve"> </w:t>
      </w:r>
      <w:proofErr w:type="spellStart"/>
      <w:r>
        <w:rPr>
          <w:i/>
        </w:rPr>
        <w:t>johnstonii</w:t>
      </w:r>
      <w:proofErr w:type="spellEnd"/>
      <w:r>
        <w:rPr>
          <w:i/>
        </w:rPr>
        <w:t xml:space="preserve">) </w:t>
      </w:r>
      <w:r>
        <w:t>are borrowed into the Nyulnyulan languages from neighboring Pama-Nyungan languages.</w:t>
      </w:r>
      <w:r>
        <w:rPr>
          <w:rStyle w:val="EndnoteReference"/>
        </w:rPr>
        <w:endnoteReference w:id="10"/>
      </w:r>
      <w:r>
        <w:t xml:space="preserve"> Bowern </w:t>
      </w:r>
      <w:r>
        <w:rPr>
          <w:noProof/>
        </w:rPr>
        <w:t>(2007)</w:t>
      </w:r>
      <w:r>
        <w:t xml:space="preserve"> has argued that speakers of Nyulnyulan </w:t>
      </w:r>
      <w:r>
        <w:lastRenderedPageBreak/>
        <w:t>languages recently spread east, adopting names for newly encountered species from their Pama-Nyungan neighbors. The borrowing of crocodile is an example of this.</w:t>
      </w:r>
    </w:p>
    <w:p w:rsidR="00657426" w:rsidRDefault="00657426" w:rsidP="00986537">
      <w:pPr>
        <w:spacing w:line="480" w:lineRule="auto"/>
        <w:ind w:firstLine="720"/>
      </w:pPr>
      <w:r>
        <w:t xml:space="preserve">For SAM, certain domesticates and </w:t>
      </w:r>
      <w:proofErr w:type="spellStart"/>
      <w:r>
        <w:t>psychotropics</w:t>
      </w:r>
      <w:proofErr w:type="spellEnd"/>
      <w:r>
        <w:t xml:space="preserve"> top the loan list. Several of these are Wanderwörter, widespread in particular areas. Terms for coca (</w:t>
      </w:r>
      <w:proofErr w:type="spellStart"/>
      <w:r w:rsidRPr="00C91C37">
        <w:rPr>
          <w:i/>
          <w:color w:val="000000"/>
        </w:rPr>
        <w:t>Erythroxylum</w:t>
      </w:r>
      <w:proofErr w:type="spellEnd"/>
      <w:r w:rsidRPr="00C91C37">
        <w:rPr>
          <w:i/>
          <w:color w:val="000000"/>
        </w:rPr>
        <w:t xml:space="preserve"> coca</w:t>
      </w:r>
      <w:r w:rsidRPr="00C91C37">
        <w:rPr>
          <w:color w:val="000000"/>
        </w:rPr>
        <w:t>) are particularly frequent loans, though sporadically attested in the sample (67% [73% if doubtful loans are included], attested for 15 languages). Banana (</w:t>
      </w:r>
      <w:r w:rsidRPr="00C91C37">
        <w:rPr>
          <w:i/>
          <w:color w:val="000000"/>
        </w:rPr>
        <w:t>Musa</w:t>
      </w:r>
      <w:r w:rsidRPr="00C91C37">
        <w:rPr>
          <w:color w:val="000000"/>
        </w:rPr>
        <w:t xml:space="preserve"> sp., 18% [32% if doubtful loans included]) and maize (</w:t>
      </w:r>
      <w:proofErr w:type="spellStart"/>
      <w:r w:rsidRPr="00C91C37">
        <w:rPr>
          <w:i/>
          <w:color w:val="000000"/>
        </w:rPr>
        <w:t>Zea</w:t>
      </w:r>
      <w:proofErr w:type="spellEnd"/>
      <w:r w:rsidRPr="00C91C37">
        <w:rPr>
          <w:i/>
          <w:color w:val="000000"/>
        </w:rPr>
        <w:t xml:space="preserve"> </w:t>
      </w:r>
      <w:proofErr w:type="spellStart"/>
      <w:r w:rsidRPr="00C91C37">
        <w:rPr>
          <w:i/>
          <w:color w:val="000000"/>
        </w:rPr>
        <w:t>mays</w:t>
      </w:r>
      <w:proofErr w:type="spellEnd"/>
      <w:r w:rsidRPr="00C91C37">
        <w:rPr>
          <w:color w:val="000000"/>
        </w:rPr>
        <w:t xml:space="preserve">; 18% [29% if doubtful loans included]) are also relatively likely to be borrowed. These are followed in the list of flora loans by the hallucinogen </w:t>
      </w:r>
      <w:proofErr w:type="spellStart"/>
      <w:r w:rsidRPr="00C91C37">
        <w:rPr>
          <w:i/>
          <w:color w:val="000000"/>
        </w:rPr>
        <w:t>Banisteriopsis</w:t>
      </w:r>
      <w:proofErr w:type="spellEnd"/>
      <w:r w:rsidRPr="00C91C37">
        <w:rPr>
          <w:i/>
          <w:color w:val="000000"/>
        </w:rPr>
        <w:t xml:space="preserve"> </w:t>
      </w:r>
      <w:proofErr w:type="spellStart"/>
      <w:r w:rsidRPr="00C91C37">
        <w:rPr>
          <w:i/>
          <w:color w:val="000000"/>
        </w:rPr>
        <w:t>caapi</w:t>
      </w:r>
      <w:proofErr w:type="spellEnd"/>
      <w:r w:rsidRPr="00C91C37">
        <w:rPr>
          <w:color w:val="000000"/>
        </w:rPr>
        <w:t>, the domesticate</w:t>
      </w:r>
      <w:r>
        <w:rPr>
          <w:color w:val="000000"/>
        </w:rPr>
        <w:t>s</w:t>
      </w:r>
      <w:r w:rsidRPr="00C91C37">
        <w:rPr>
          <w:color w:val="000000"/>
        </w:rPr>
        <w:t xml:space="preserve"> beans (</w:t>
      </w:r>
      <w:proofErr w:type="spellStart"/>
      <w:r w:rsidRPr="00C91C37">
        <w:rPr>
          <w:i/>
          <w:color w:val="000000"/>
        </w:rPr>
        <w:t>Phaseolus</w:t>
      </w:r>
      <w:proofErr w:type="spellEnd"/>
      <w:r w:rsidRPr="00C91C37">
        <w:rPr>
          <w:i/>
          <w:color w:val="000000"/>
        </w:rPr>
        <w:t xml:space="preserve"> </w:t>
      </w:r>
      <w:r w:rsidRPr="00C91C37">
        <w:rPr>
          <w:color w:val="000000"/>
        </w:rPr>
        <w:t>sp.) and pineapple (</w:t>
      </w:r>
      <w:proofErr w:type="spellStart"/>
      <w:r w:rsidRPr="00C91C37">
        <w:rPr>
          <w:i/>
          <w:color w:val="000000"/>
        </w:rPr>
        <w:t>Ananas</w:t>
      </w:r>
      <w:proofErr w:type="spellEnd"/>
      <w:r w:rsidRPr="00C91C37">
        <w:rPr>
          <w:i/>
          <w:color w:val="000000"/>
        </w:rPr>
        <w:t xml:space="preserve"> </w:t>
      </w:r>
      <w:proofErr w:type="spellStart"/>
      <w:r w:rsidRPr="00C91C37">
        <w:rPr>
          <w:i/>
          <w:color w:val="000000"/>
        </w:rPr>
        <w:t>cosmosus</w:t>
      </w:r>
      <w:proofErr w:type="spellEnd"/>
      <w:r w:rsidRPr="00C91C37">
        <w:rPr>
          <w:color w:val="000000"/>
        </w:rPr>
        <w:t>), and the rubber tree (</w:t>
      </w:r>
      <w:proofErr w:type="spellStart"/>
      <w:r w:rsidRPr="00C91C37">
        <w:rPr>
          <w:i/>
          <w:color w:val="000000"/>
        </w:rPr>
        <w:t>Hevea</w:t>
      </w:r>
      <w:proofErr w:type="spellEnd"/>
      <w:r w:rsidRPr="00C91C37">
        <w:rPr>
          <w:i/>
          <w:color w:val="000000"/>
        </w:rPr>
        <w:t xml:space="preserve"> </w:t>
      </w:r>
      <w:r w:rsidRPr="00C91C37">
        <w:rPr>
          <w:color w:val="000000"/>
        </w:rPr>
        <w:t xml:space="preserve">sp.). All of these domesticates are relative latecomers and/or not central members of the Amazonian crop inventory, of which the key elements are the less-frequently loaned manioc, chili pepper, tobacco, and others. The rubber tree, while native, was of course the focus of an intensive extractive industry following European contact; such a radical change in salience has been documented elsewhere as a motivation for borrowing (see below and </w:t>
      </w:r>
      <w:proofErr w:type="spellStart"/>
      <w:r w:rsidRPr="00C91C37">
        <w:rPr>
          <w:color w:val="000000"/>
        </w:rPr>
        <w:t>Balée</w:t>
      </w:r>
      <w:proofErr w:type="spellEnd"/>
      <w:r w:rsidRPr="00C91C37">
        <w:rPr>
          <w:color w:val="000000"/>
        </w:rPr>
        <w:t xml:space="preserve"> </w:t>
      </w:r>
      <w:r>
        <w:rPr>
          <w:noProof/>
          <w:color w:val="000000"/>
        </w:rPr>
        <w:t>(2003)</w:t>
      </w:r>
      <w:r w:rsidRPr="00C91C37">
        <w:rPr>
          <w:color w:val="000000"/>
        </w:rPr>
        <w:t>). Of fauna, terms for iguana (</w:t>
      </w:r>
      <w:r w:rsidRPr="00C91C37">
        <w:rPr>
          <w:i/>
          <w:color w:val="000000"/>
        </w:rPr>
        <w:t xml:space="preserve">Iguana </w:t>
      </w:r>
      <w:r w:rsidRPr="00C91C37">
        <w:rPr>
          <w:color w:val="000000"/>
        </w:rPr>
        <w:t xml:space="preserve">sp.; 43% [48% if doubtful loans included]) are strikingly widely borrowed, with cockroach, duck, and agouti further down the list; motivations for borrowing these terms are not currently known.  </w:t>
      </w:r>
    </w:p>
    <w:p w:rsidR="00657426" w:rsidRPr="0011256F" w:rsidRDefault="00657426" w:rsidP="00986537">
      <w:pPr>
        <w:spacing w:line="480" w:lineRule="auto"/>
        <w:ind w:firstLine="720"/>
        <w:rPr>
          <w:i/>
        </w:rPr>
      </w:pPr>
      <w:r>
        <w:t xml:space="preserve">The most stable items (that is, the items most commonly coded as ‘inherited’ in the case study areas) are varied. For North America, they include ‘skunk’, ‘valley live oak’, pinyon pine, and grey ground squirrel. For South America, the most stable items are ‘hummingbird’, ‘South American tapir’, ‘hot pepper’, ‘tree’ and ‘bee’. The Australian case study area shows fewer highly stable items; those with the highest scores are ‘fish’, </w:t>
      </w:r>
      <w:r>
        <w:lastRenderedPageBreak/>
        <w:t>‘mosquito’, ‘dugong’, ‘tree’, ‘crow’ and ‘centipede’. Note that heritability statistics are not directly comparable across case study areas because the number of families and language isolates varies substantially. The implications of inheritance for notions of ‘stability’ are discussed below, particularly in relation to genericity in the Australian example.</w:t>
      </w:r>
    </w:p>
    <w:p w:rsidR="00657426" w:rsidRDefault="00657426" w:rsidP="00986537">
      <w:pPr>
        <w:pStyle w:val="Heading2"/>
        <w:suppressAutoHyphens w:val="0"/>
        <w:autoSpaceDE w:val="0"/>
        <w:adjustRightInd w:val="0"/>
        <w:spacing w:line="480" w:lineRule="auto"/>
        <w:ind w:left="576" w:hanging="576"/>
        <w:textAlignment w:val="auto"/>
      </w:pPr>
      <w:r>
        <w:t>Borrowability and heritability by subcategory</w:t>
      </w:r>
    </w:p>
    <w:p w:rsidR="00657426" w:rsidRDefault="00657426" w:rsidP="00986537">
      <w:pPr>
        <w:spacing w:line="480" w:lineRule="auto"/>
      </w:pPr>
      <w:r>
        <w:t xml:space="preserve">Items vary extensively in their borrowability and heritability when cultural category (‘mythology’, ‘danger’, etc.) is considered. These categories were designed to reflect different aspects of cultural salience and significance. Dangerous items are culturally salient because they loom large in culture and pose a threat to the safety of the community. Eaten items are significant for the opposite reason: rather than threatening the safety of the community, they provide sustenance. Likewise, medicinal items are salient because of their powers of healing (though they may also be esoteric knowledge). Items of mythological or ritual importance are embedded in the culture and thus have salience in how they reflect a group’s worldview. Domesticates are argued to be salient (at least to agriculturalist groups) because of the central role of agriculture in social organization and subsistence. </w:t>
      </w:r>
    </w:p>
    <w:p w:rsidR="00657426" w:rsidRDefault="00657426" w:rsidP="00986537">
      <w:pPr>
        <w:spacing w:line="480" w:lineRule="auto"/>
        <w:ind w:firstLine="720"/>
      </w:pPr>
      <w:r>
        <w:t xml:space="preserve">We here discuss the whole data set, then address </w:t>
      </w:r>
      <w:r w:rsidRPr="00BB1778">
        <w:t xml:space="preserve">differences between hunter-gatherer and agriculturalist groups. Summary data are given in </w:t>
      </w:r>
      <w:r w:rsidRPr="003A0F42">
        <w:t xml:space="preserve">Table </w:t>
      </w:r>
      <w:r w:rsidR="00124838">
        <w:t>4</w:t>
      </w:r>
      <w:r w:rsidRPr="00BB1778">
        <w:t xml:space="preserve"> below</w:t>
      </w:r>
      <w:r>
        <w:t xml:space="preserve">. Some patterns showed up in the data as a whole, but not in HG or AG groups individually. In each cell, the first number is the overall result; the second is the AG groups only, and the third is the HG groups only. The tag M following a significant result indicates that the condition is significantly </w:t>
      </w:r>
      <w:r>
        <w:rPr>
          <w:i/>
        </w:rPr>
        <w:t>more</w:t>
      </w:r>
      <w:r>
        <w:t xml:space="preserve"> likely to hold for the category, while L indicates that it is </w:t>
      </w:r>
      <w:r w:rsidRPr="004C5F27">
        <w:rPr>
          <w:i/>
        </w:rPr>
        <w:t xml:space="preserve">less </w:t>
      </w:r>
      <w:r>
        <w:t>likely to hold.</w:t>
      </w:r>
      <w:r>
        <w:rPr>
          <w:rStyle w:val="EndnoteReference"/>
        </w:rPr>
        <w:endnoteReference w:id="11"/>
      </w:r>
      <w:r>
        <w:t xml:space="preserve"> As loan, inheritance, and unique item rates vary significantly (ANOVA, p = 0.002, p &lt; </w:t>
      </w:r>
      <w:r>
        <w:lastRenderedPageBreak/>
        <w:t>10</w:t>
      </w:r>
      <w:r>
        <w:rPr>
          <w:vertAlign w:val="superscript"/>
        </w:rPr>
        <w:t>-15</w:t>
      </w:r>
      <w:r>
        <w:t>, and p = 0.007, respectively) by case-study area, each of these analyses is held constant by case-study area.</w:t>
      </w:r>
    </w:p>
    <w:p w:rsidR="00657426" w:rsidRDefault="00657426">
      <w:pPr>
        <w:widowControl/>
        <w:suppressAutoHyphens w:val="0"/>
        <w:autoSpaceDN/>
        <w:spacing w:after="200" w:line="276" w:lineRule="auto"/>
        <w:textAlignment w:val="auto"/>
        <w:rPr>
          <w:b/>
          <w:bCs/>
          <w:kern w:val="0"/>
          <w:szCs w:val="18"/>
        </w:rPr>
      </w:pPr>
    </w:p>
    <w:p w:rsidR="00657426" w:rsidRDefault="00657426" w:rsidP="00986537">
      <w:pPr>
        <w:pStyle w:val="Caption"/>
        <w:keepNext/>
        <w:spacing w:line="480" w:lineRule="auto"/>
      </w:pPr>
      <w:r>
        <w:t xml:space="preserve">Table </w:t>
      </w:r>
      <w:r w:rsidR="00590C4E">
        <w:fldChar w:fldCharType="begin"/>
      </w:r>
      <w:r w:rsidR="0083600B">
        <w:instrText xml:space="preserve"> SEQ Table \* ARABIC </w:instrText>
      </w:r>
      <w:r w:rsidR="00590C4E">
        <w:fldChar w:fldCharType="separate"/>
      </w:r>
      <w:r w:rsidR="00367B50">
        <w:rPr>
          <w:noProof/>
        </w:rPr>
        <w:t>4</w:t>
      </w:r>
      <w:r w:rsidR="00590C4E">
        <w:rPr>
          <w:noProof/>
        </w:rPr>
        <w:fldChar w:fldCharType="end"/>
      </w:r>
      <w:r>
        <w:t>: Inheritance figures</w:t>
      </w:r>
    </w:p>
    <w:tbl>
      <w:tblPr>
        <w:tblStyle w:val="LightShading"/>
        <w:tblW w:w="8298" w:type="dxa"/>
        <w:tblLayout w:type="fixed"/>
        <w:tblLook w:val="04A0"/>
      </w:tblPr>
      <w:tblGrid>
        <w:gridCol w:w="1485"/>
        <w:gridCol w:w="585"/>
        <w:gridCol w:w="1368"/>
        <w:gridCol w:w="1159"/>
        <w:gridCol w:w="1115"/>
        <w:gridCol w:w="2091"/>
        <w:gridCol w:w="495"/>
      </w:tblGrid>
      <w:tr w:rsidR="00657426" w:rsidRPr="00BD58CD" w:rsidTr="003A0F42">
        <w:trPr>
          <w:cnfStyle w:val="1000000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C62997">
              <w:rPr>
                <w:rFonts w:ascii="Calibri" w:eastAsia="Times New Roman" w:hAnsi="Calibri" w:cs="Calibri"/>
                <w:color w:val="000000" w:themeColor="text1"/>
                <w:sz w:val="22"/>
                <w:szCs w:val="22"/>
              </w:rPr>
              <w:t>Category</w:t>
            </w:r>
          </w:p>
        </w:tc>
        <w:tc>
          <w:tcPr>
            <w:tcW w:w="585" w:type="dxa"/>
            <w:shd w:val="clear" w:color="auto" w:fill="FFFFFF" w:themeFill="background1"/>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N</w:t>
            </w:r>
          </w:p>
        </w:tc>
        <w:tc>
          <w:tcPr>
            <w:tcW w:w="1368" w:type="dxa"/>
            <w:shd w:val="clear" w:color="auto" w:fill="FFFFFF" w:themeFill="background1"/>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Loan</w:t>
            </w:r>
          </w:p>
        </w:tc>
        <w:tc>
          <w:tcPr>
            <w:tcW w:w="1159" w:type="dxa"/>
            <w:shd w:val="clear" w:color="auto" w:fill="FFFFFF" w:themeFill="background1"/>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Inherited</w:t>
            </w:r>
          </w:p>
        </w:tc>
        <w:tc>
          <w:tcPr>
            <w:tcW w:w="1115" w:type="dxa"/>
            <w:shd w:val="clear" w:color="auto" w:fill="FFFFFF" w:themeFill="background1"/>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Unique</w:t>
            </w:r>
          </w:p>
        </w:tc>
        <w:tc>
          <w:tcPr>
            <w:tcW w:w="2091" w:type="dxa"/>
            <w:shd w:val="clear" w:color="auto" w:fill="FFFFFF" w:themeFill="background1"/>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Semantic Shift</w:t>
            </w:r>
          </w:p>
        </w:tc>
        <w:tc>
          <w:tcPr>
            <w:tcW w:w="495" w:type="dxa"/>
            <w:shd w:val="clear" w:color="auto" w:fill="FFFFFF" w:themeFill="background1"/>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p>
        </w:tc>
      </w:tr>
      <w:tr w:rsidR="00657426" w:rsidRPr="00B11695" w:rsidTr="003A0F42">
        <w:trPr>
          <w:cnfStyle w:val="0000001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Psychotropic</w:t>
            </w:r>
          </w:p>
        </w:tc>
        <w:tc>
          <w:tcPr>
            <w:tcW w:w="585" w:type="dxa"/>
            <w:shd w:val="clear" w:color="auto" w:fill="FFFFFF" w:themeFill="background1"/>
            <w:noWrap/>
          </w:tcPr>
          <w:p w:rsidR="00657426" w:rsidRPr="007932B1" w:rsidRDefault="00657426" w:rsidP="00986537">
            <w:pPr>
              <w:spacing w:line="480" w:lineRule="auto"/>
              <w:jc w:val="right"/>
              <w:cnfStyle w:val="000000100000"/>
              <w:rPr>
                <w:rFonts w:ascii="Calibri" w:eastAsia="Times New Roman" w:hAnsi="Calibri" w:cs="Calibri"/>
                <w:color w:val="000000"/>
                <w:sz w:val="22"/>
                <w:szCs w:val="22"/>
              </w:rPr>
            </w:pPr>
            <w:r w:rsidRPr="007932B1">
              <w:rPr>
                <w:rFonts w:ascii="Calibri" w:eastAsia="Times New Roman" w:hAnsi="Calibri" w:cs="Calibri"/>
                <w:color w:val="000000"/>
                <w:sz w:val="22"/>
                <w:szCs w:val="22"/>
              </w:rPr>
              <w:t>5</w:t>
            </w:r>
          </w:p>
        </w:tc>
        <w:tc>
          <w:tcPr>
            <w:tcW w:w="1368" w:type="dxa"/>
            <w:shd w:val="clear" w:color="auto" w:fill="FFFFFF" w:themeFill="background1"/>
          </w:tcPr>
          <w:p w:rsidR="00657426" w:rsidRPr="00773928"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&lt;</w:t>
            </w:r>
            <w:r w:rsidRPr="00773928">
              <w:rPr>
                <w:rFonts w:ascii="Calibri" w:eastAsia="Times New Roman" w:hAnsi="Calibri" w:cs="Calibri"/>
                <w:b/>
                <w:color w:val="000000"/>
                <w:sz w:val="22"/>
                <w:szCs w:val="22"/>
              </w:rPr>
              <w:t>0.001 M</w:t>
            </w:r>
          </w:p>
          <w:p w:rsidR="00657426" w:rsidRPr="002F3079" w:rsidRDefault="00657426" w:rsidP="00986537">
            <w:pPr>
              <w:spacing w:line="480" w:lineRule="auto"/>
              <w:cnfStyle w:val="000000100000"/>
              <w:rPr>
                <w:rFonts w:ascii="Calibri" w:eastAsia="Times New Roman" w:hAnsi="Calibri" w:cs="Calibri"/>
                <w:b/>
                <w:color w:val="000000"/>
                <w:sz w:val="22"/>
                <w:szCs w:val="22"/>
              </w:rPr>
            </w:pPr>
            <w:r w:rsidRPr="002F3079">
              <w:rPr>
                <w:rFonts w:ascii="Calibri" w:eastAsia="Times New Roman" w:hAnsi="Calibri" w:cs="Calibri"/>
                <w:b/>
                <w:color w:val="000000"/>
                <w:sz w:val="22"/>
                <w:szCs w:val="22"/>
              </w:rPr>
              <w:t>&lt;0.001 M</w:t>
            </w:r>
          </w:p>
          <w:p w:rsidR="00657426" w:rsidRPr="002551BA"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0.004 M</w:t>
            </w:r>
          </w:p>
        </w:tc>
        <w:tc>
          <w:tcPr>
            <w:tcW w:w="1159" w:type="dxa"/>
            <w:shd w:val="clear" w:color="auto" w:fill="FFFFFF" w:themeFill="background1"/>
          </w:tcPr>
          <w:p w:rsidR="00657426" w:rsidRPr="00773928"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&lt;0.001</w:t>
            </w:r>
            <w:r w:rsidRPr="00773928">
              <w:rPr>
                <w:rFonts w:ascii="Calibri" w:eastAsia="Times New Roman" w:hAnsi="Calibri" w:cs="Calibri"/>
                <w:b/>
                <w:color w:val="000000"/>
                <w:sz w:val="22"/>
                <w:szCs w:val="22"/>
              </w:rPr>
              <w:t xml:space="preserve"> L</w:t>
            </w:r>
          </w:p>
          <w:p w:rsidR="00657426" w:rsidRPr="002F3079" w:rsidRDefault="00657426" w:rsidP="00986537">
            <w:pPr>
              <w:spacing w:line="480" w:lineRule="auto"/>
              <w:cnfStyle w:val="000000100000"/>
              <w:rPr>
                <w:rFonts w:ascii="Calibri" w:eastAsia="Times New Roman" w:hAnsi="Calibri" w:cs="Calibri"/>
                <w:b/>
                <w:color w:val="000000"/>
                <w:sz w:val="22"/>
                <w:szCs w:val="22"/>
              </w:rPr>
            </w:pPr>
            <w:r w:rsidRPr="002F3079">
              <w:rPr>
                <w:rFonts w:ascii="Calibri" w:eastAsia="Times New Roman" w:hAnsi="Calibri" w:cs="Calibri"/>
                <w:b/>
                <w:color w:val="000000"/>
                <w:sz w:val="22"/>
                <w:szCs w:val="22"/>
              </w:rPr>
              <w:t>&lt;0.001 L</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0.20</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w:t>
            </w:r>
            <w:r w:rsidRPr="00B11695">
              <w:rPr>
                <w:rFonts w:ascii="Calibri" w:eastAsia="Times New Roman" w:hAnsi="Calibri" w:cs="Calibri"/>
                <w:color w:val="000000"/>
                <w:sz w:val="22"/>
                <w:szCs w:val="22"/>
              </w:rPr>
              <w:t xml:space="preserve">9 </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0.81</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 xml:space="preserve">0.11 </w:t>
            </w:r>
          </w:p>
        </w:tc>
        <w:tc>
          <w:tcPr>
            <w:tcW w:w="2091"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0.65</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0.51</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0.66</w:t>
            </w:r>
          </w:p>
        </w:tc>
        <w:tc>
          <w:tcPr>
            <w:tcW w:w="495" w:type="dxa"/>
            <w:shd w:val="clear" w:color="auto" w:fill="FFFFFF" w:themeFill="background1"/>
          </w:tcPr>
          <w:p w:rsidR="00657426" w:rsidRDefault="00657426" w:rsidP="00986537">
            <w:pPr>
              <w:spacing w:line="480" w:lineRule="auto"/>
              <w:cnfStyle w:val="000000100000"/>
              <w:rPr>
                <w:rFonts w:ascii="Calibri" w:eastAsia="Times New Roman" w:hAnsi="Calibri" w:cs="Calibri"/>
                <w:color w:val="000000"/>
                <w:sz w:val="22"/>
                <w:szCs w:val="22"/>
              </w:rPr>
            </w:pP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Medicinal</w:t>
            </w:r>
          </w:p>
        </w:tc>
        <w:tc>
          <w:tcPr>
            <w:tcW w:w="585" w:type="dxa"/>
            <w:shd w:val="clear" w:color="auto" w:fill="FFFFFF" w:themeFill="background1"/>
            <w:noWrap/>
          </w:tcPr>
          <w:p w:rsidR="00657426" w:rsidRPr="007932B1"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22</w:t>
            </w: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0.70</w:t>
            </w:r>
          </w:p>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21</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0.08 L</w:t>
            </w:r>
          </w:p>
        </w:tc>
        <w:tc>
          <w:tcPr>
            <w:tcW w:w="1159"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51</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0.94</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0.53</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0.65</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0.92</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0.99</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0.12</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0.95</w:t>
            </w:r>
          </w:p>
          <w:p w:rsidR="00657426" w:rsidRPr="00FB7705" w:rsidRDefault="00657426" w:rsidP="00986537">
            <w:pPr>
              <w:spacing w:line="480" w:lineRule="auto"/>
              <w:cnfStyle w:val="000000000000"/>
              <w:rPr>
                <w:rFonts w:ascii="Calibri" w:eastAsia="Times New Roman" w:hAnsi="Calibri" w:cs="Calibri"/>
                <w:color w:val="000000"/>
                <w:sz w:val="22"/>
                <w:szCs w:val="22"/>
              </w:rPr>
            </w:pPr>
            <w:r w:rsidRPr="00FB7705">
              <w:rPr>
                <w:rFonts w:ascii="Calibri" w:eastAsia="Times New Roman" w:hAnsi="Calibri" w:cs="Calibri"/>
                <w:color w:val="000000"/>
                <w:sz w:val="22"/>
                <w:szCs w:val="22"/>
              </w:rPr>
              <w:t>0.09 L</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rPr>
          <w:cnfStyle w:val="0000001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Traded</w:t>
            </w:r>
          </w:p>
        </w:tc>
        <w:tc>
          <w:tcPr>
            <w:tcW w:w="585" w:type="dxa"/>
            <w:shd w:val="clear" w:color="auto" w:fill="FFFFFF" w:themeFill="background1"/>
            <w:noWrap/>
          </w:tcPr>
          <w:p w:rsidR="00657426" w:rsidRPr="007932B1"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30</w:t>
            </w:r>
          </w:p>
        </w:tc>
        <w:tc>
          <w:tcPr>
            <w:tcW w:w="1368"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0.2</w:t>
            </w:r>
            <w:r>
              <w:rPr>
                <w:rFonts w:ascii="Calibri" w:eastAsia="Times New Roman" w:hAnsi="Calibri" w:cs="Calibri"/>
                <w:color w:val="000000"/>
                <w:sz w:val="22"/>
                <w:szCs w:val="22"/>
              </w:rPr>
              <w:t>8</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0.28</w:t>
            </w:r>
          </w:p>
        </w:tc>
        <w:tc>
          <w:tcPr>
            <w:tcW w:w="1159"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0.67</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99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0.79</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0.23</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99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22</w:t>
            </w:r>
          </w:p>
        </w:tc>
        <w:tc>
          <w:tcPr>
            <w:tcW w:w="2091"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0.92</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0.68</w:t>
            </w:r>
          </w:p>
        </w:tc>
        <w:tc>
          <w:tcPr>
            <w:tcW w:w="495" w:type="dxa"/>
            <w:shd w:val="clear" w:color="auto" w:fill="FFFFFF" w:themeFill="background1"/>
          </w:tcPr>
          <w:p w:rsidR="00657426" w:rsidRDefault="00657426" w:rsidP="00986537">
            <w:pPr>
              <w:spacing w:line="480" w:lineRule="auto"/>
              <w:cnfStyle w:val="000000100000"/>
              <w:rPr>
                <w:rFonts w:ascii="Calibri" w:eastAsia="Times New Roman" w:hAnsi="Calibri" w:cs="Calibri"/>
                <w:color w:val="000000"/>
                <w:sz w:val="22"/>
                <w:szCs w:val="22"/>
              </w:rPr>
            </w:pP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Dangerous</w:t>
            </w:r>
          </w:p>
        </w:tc>
        <w:tc>
          <w:tcPr>
            <w:tcW w:w="585" w:type="dxa"/>
            <w:shd w:val="clear" w:color="auto" w:fill="FFFFFF" w:themeFill="background1"/>
            <w:noWrap/>
          </w:tcPr>
          <w:p w:rsidR="00657426" w:rsidRPr="007932B1" w:rsidRDefault="00657426" w:rsidP="00986537">
            <w:pPr>
              <w:spacing w:line="480" w:lineRule="auto"/>
              <w:jc w:val="right"/>
              <w:cnfStyle w:val="000000000000"/>
              <w:rPr>
                <w:rFonts w:ascii="Calibri" w:eastAsia="Times New Roman" w:hAnsi="Calibri" w:cs="Calibri"/>
                <w:color w:val="000000"/>
                <w:sz w:val="22"/>
                <w:szCs w:val="22"/>
              </w:rPr>
            </w:pPr>
            <w:r w:rsidRPr="007932B1">
              <w:rPr>
                <w:rFonts w:ascii="Calibri" w:eastAsia="Times New Roman" w:hAnsi="Calibri" w:cs="Calibri"/>
                <w:color w:val="000000"/>
                <w:sz w:val="22"/>
                <w:szCs w:val="22"/>
              </w:rPr>
              <w:t>2</w:t>
            </w:r>
            <w:r>
              <w:rPr>
                <w:rFonts w:ascii="Calibri" w:eastAsia="Times New Roman" w:hAnsi="Calibri" w:cs="Calibri"/>
                <w:color w:val="000000"/>
                <w:sz w:val="22"/>
                <w:szCs w:val="22"/>
              </w:rPr>
              <w:t>5</w:t>
            </w: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0.08 L</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0.45</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0.18</w:t>
            </w:r>
          </w:p>
        </w:tc>
        <w:tc>
          <w:tcPr>
            <w:tcW w:w="1159"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36</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0.45</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0.09 M</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0.41</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0.70</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0.41</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0.12</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0.68</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0.09 M</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rPr>
          <w:cnfStyle w:val="0000001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Eaten</w:t>
            </w:r>
          </w:p>
        </w:tc>
        <w:tc>
          <w:tcPr>
            <w:tcW w:w="585" w:type="dxa"/>
            <w:shd w:val="clear" w:color="auto" w:fill="FFFFFF" w:themeFill="background1"/>
            <w:noWrap/>
          </w:tcPr>
          <w:p w:rsidR="00657426" w:rsidRPr="007932B1"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184</w:t>
            </w:r>
          </w:p>
        </w:tc>
        <w:tc>
          <w:tcPr>
            <w:tcW w:w="1368"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0.61</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0.6</w:t>
            </w:r>
            <w:r>
              <w:rPr>
                <w:rFonts w:ascii="Calibri" w:eastAsia="Times New Roman" w:hAnsi="Calibri" w:cs="Calibri"/>
                <w:color w:val="000000"/>
                <w:sz w:val="22"/>
                <w:szCs w:val="22"/>
              </w:rPr>
              <w:t>2</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0.20</w:t>
            </w:r>
          </w:p>
        </w:tc>
        <w:tc>
          <w:tcPr>
            <w:tcW w:w="1159" w:type="dxa"/>
            <w:shd w:val="clear" w:color="auto" w:fill="FFFFFF" w:themeFill="background1"/>
          </w:tcPr>
          <w:p w:rsidR="00657426" w:rsidRPr="001E1BF6" w:rsidRDefault="00657426" w:rsidP="00986537">
            <w:pPr>
              <w:spacing w:line="480" w:lineRule="auto"/>
              <w:cnfStyle w:val="000000100000"/>
              <w:rPr>
                <w:rFonts w:ascii="Calibri" w:eastAsia="Times New Roman" w:hAnsi="Calibri" w:cs="Calibri"/>
                <w:b/>
                <w:color w:val="000000"/>
                <w:sz w:val="22"/>
                <w:szCs w:val="22"/>
              </w:rPr>
            </w:pPr>
            <w:r w:rsidRPr="001E1BF6">
              <w:rPr>
                <w:rFonts w:ascii="Calibri" w:eastAsia="Times New Roman" w:hAnsi="Calibri" w:cs="Calibri"/>
                <w:b/>
                <w:color w:val="000000"/>
                <w:sz w:val="22"/>
                <w:szCs w:val="22"/>
              </w:rPr>
              <w:t>0.02 M</w:t>
            </w:r>
          </w:p>
          <w:p w:rsidR="00657426" w:rsidRPr="001E1BF6" w:rsidRDefault="00657426" w:rsidP="00986537">
            <w:pPr>
              <w:spacing w:line="480" w:lineRule="auto"/>
              <w:cnfStyle w:val="000000100000"/>
              <w:rPr>
                <w:rFonts w:ascii="Calibri" w:eastAsia="Times New Roman" w:hAnsi="Calibri" w:cs="Calibri"/>
                <w:b/>
                <w:color w:val="000000"/>
                <w:sz w:val="22"/>
                <w:szCs w:val="22"/>
              </w:rPr>
            </w:pPr>
            <w:r w:rsidRPr="001E1BF6">
              <w:rPr>
                <w:rFonts w:ascii="Calibri" w:eastAsia="Times New Roman" w:hAnsi="Calibri" w:cs="Calibri"/>
                <w:b/>
                <w:color w:val="000000"/>
                <w:sz w:val="22"/>
                <w:szCs w:val="22"/>
              </w:rPr>
              <w:t>0.04 M</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0.17</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0.76</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45</w:t>
            </w:r>
          </w:p>
          <w:p w:rsidR="00657426" w:rsidRPr="001E1BF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0.23</w:t>
            </w:r>
          </w:p>
        </w:tc>
        <w:tc>
          <w:tcPr>
            <w:tcW w:w="2091" w:type="dxa"/>
            <w:shd w:val="clear" w:color="auto" w:fill="FFFFFF" w:themeFill="background1"/>
          </w:tcPr>
          <w:p w:rsidR="00657426" w:rsidRPr="002B513F" w:rsidRDefault="00657426" w:rsidP="00986537">
            <w:pPr>
              <w:spacing w:line="480" w:lineRule="auto"/>
              <w:cnfStyle w:val="000000100000"/>
              <w:rPr>
                <w:rFonts w:ascii="Calibri" w:eastAsia="Times New Roman" w:hAnsi="Calibri" w:cs="Calibri"/>
                <w:b/>
                <w:color w:val="000000"/>
                <w:sz w:val="22"/>
                <w:szCs w:val="22"/>
              </w:rPr>
            </w:pPr>
            <w:r w:rsidRPr="001E1BF6">
              <w:rPr>
                <w:rFonts w:ascii="Calibri" w:eastAsia="Times New Roman" w:hAnsi="Calibri" w:cs="Calibri"/>
                <w:color w:val="000000"/>
                <w:sz w:val="22"/>
                <w:szCs w:val="22"/>
              </w:rPr>
              <w:t>0.</w:t>
            </w:r>
            <w:r>
              <w:rPr>
                <w:rFonts w:ascii="Calibri" w:eastAsia="Times New Roman" w:hAnsi="Calibri" w:cs="Calibri"/>
                <w:color w:val="000000"/>
                <w:sz w:val="22"/>
                <w:szCs w:val="22"/>
              </w:rPr>
              <w:t>11</w:t>
            </w:r>
          </w:p>
          <w:p w:rsidR="00657426" w:rsidRPr="002F3079" w:rsidRDefault="00657426" w:rsidP="00986537">
            <w:pPr>
              <w:spacing w:line="480" w:lineRule="auto"/>
              <w:cnfStyle w:val="000000100000"/>
              <w:rPr>
                <w:rFonts w:ascii="Calibri" w:eastAsia="Times New Roman" w:hAnsi="Calibri" w:cs="Calibri"/>
                <w:b/>
                <w:color w:val="000000"/>
                <w:sz w:val="22"/>
                <w:szCs w:val="22"/>
              </w:rPr>
            </w:pPr>
            <w:r w:rsidRPr="002F3079">
              <w:rPr>
                <w:rFonts w:ascii="Calibri" w:eastAsia="Times New Roman" w:hAnsi="Calibri" w:cs="Calibri"/>
                <w:b/>
                <w:color w:val="000000"/>
                <w:sz w:val="22"/>
                <w:szCs w:val="22"/>
              </w:rPr>
              <w:t>0.00</w:t>
            </w:r>
            <w:r>
              <w:rPr>
                <w:rFonts w:ascii="Calibri" w:eastAsia="Times New Roman" w:hAnsi="Calibri" w:cs="Calibri"/>
                <w:b/>
                <w:color w:val="000000"/>
                <w:sz w:val="22"/>
                <w:szCs w:val="22"/>
              </w:rPr>
              <w:t>6</w:t>
            </w:r>
            <w:r w:rsidRPr="002F3079">
              <w:rPr>
                <w:rFonts w:ascii="Calibri" w:eastAsia="Times New Roman" w:hAnsi="Calibri" w:cs="Calibri"/>
                <w:b/>
                <w:color w:val="000000"/>
                <w:sz w:val="22"/>
                <w:szCs w:val="22"/>
              </w:rPr>
              <w:t xml:space="preserve"> L</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52</w:t>
            </w:r>
          </w:p>
        </w:tc>
        <w:tc>
          <w:tcPr>
            <w:tcW w:w="495" w:type="dxa"/>
            <w:shd w:val="clear" w:color="auto" w:fill="FFFFFF" w:themeFill="background1"/>
          </w:tcPr>
          <w:p w:rsidR="00657426" w:rsidRDefault="00657426" w:rsidP="00986537">
            <w:pPr>
              <w:spacing w:line="480" w:lineRule="auto"/>
              <w:cnfStyle w:val="000000100000"/>
              <w:rPr>
                <w:rFonts w:ascii="Calibri" w:eastAsia="Times New Roman" w:hAnsi="Calibri" w:cs="Calibri"/>
                <w:color w:val="000000"/>
                <w:sz w:val="22"/>
                <w:szCs w:val="22"/>
              </w:rPr>
            </w:pP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Pr="001E1BF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Mythological</w:t>
            </w:r>
          </w:p>
        </w:tc>
        <w:tc>
          <w:tcPr>
            <w:tcW w:w="585" w:type="dxa"/>
            <w:shd w:val="clear" w:color="auto" w:fill="FFFFFF" w:themeFill="background1"/>
            <w:noWrap/>
          </w:tcPr>
          <w:p w:rsidR="00657426" w:rsidRPr="007932B1"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38</w:t>
            </w: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0.98</w:t>
            </w:r>
          </w:p>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23</w:t>
            </w:r>
          </w:p>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30</w:t>
            </w:r>
          </w:p>
        </w:tc>
        <w:tc>
          <w:tcPr>
            <w:tcW w:w="1159" w:type="dxa"/>
            <w:shd w:val="clear" w:color="auto" w:fill="FFFFFF" w:themeFill="background1"/>
          </w:tcPr>
          <w:p w:rsidR="00657426" w:rsidRPr="001E1BF6" w:rsidRDefault="00657426" w:rsidP="00986537">
            <w:pPr>
              <w:spacing w:line="480" w:lineRule="auto"/>
              <w:cnfStyle w:val="000000000000"/>
              <w:rPr>
                <w:rFonts w:ascii="Calibri" w:eastAsia="Times New Roman" w:hAnsi="Calibri" w:cs="Calibri"/>
                <w:color w:val="000000"/>
                <w:sz w:val="22"/>
                <w:szCs w:val="22"/>
              </w:rPr>
            </w:pPr>
            <w:r w:rsidRPr="001E1BF6">
              <w:rPr>
                <w:rFonts w:ascii="Calibri" w:eastAsia="Times New Roman" w:hAnsi="Calibri" w:cs="Calibri"/>
                <w:color w:val="000000"/>
                <w:sz w:val="22"/>
                <w:szCs w:val="22"/>
              </w:rPr>
              <w:t>0.09 M</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0.08 M</w:t>
            </w:r>
          </w:p>
          <w:p w:rsidR="00657426" w:rsidRPr="001E1BF6" w:rsidRDefault="00657426" w:rsidP="00986537">
            <w:pPr>
              <w:spacing w:line="480" w:lineRule="auto"/>
              <w:cnfStyle w:val="000000000000"/>
              <w:rPr>
                <w:rFonts w:ascii="Calibri" w:eastAsia="Times New Roman" w:hAnsi="Calibri" w:cs="Calibri"/>
                <w:color w:val="000000"/>
                <w:sz w:val="22"/>
                <w:szCs w:val="22"/>
              </w:rPr>
            </w:pPr>
            <w:r w:rsidRPr="001E1BF6">
              <w:rPr>
                <w:rFonts w:ascii="Calibri" w:eastAsia="Times New Roman" w:hAnsi="Calibri" w:cs="Calibri"/>
                <w:color w:val="000000"/>
                <w:sz w:val="22"/>
                <w:szCs w:val="22"/>
              </w:rPr>
              <w:t>0.0</w:t>
            </w:r>
            <w:r>
              <w:rPr>
                <w:rFonts w:ascii="Calibri" w:eastAsia="Times New Roman" w:hAnsi="Calibri" w:cs="Calibri"/>
                <w:color w:val="000000"/>
                <w:sz w:val="22"/>
                <w:szCs w:val="22"/>
              </w:rPr>
              <w:t>9</w:t>
            </w:r>
            <w:r w:rsidRPr="001E1BF6">
              <w:rPr>
                <w:rFonts w:ascii="Calibri" w:eastAsia="Times New Roman" w:hAnsi="Calibri" w:cs="Calibri"/>
                <w:color w:val="000000"/>
                <w:sz w:val="22"/>
                <w:szCs w:val="22"/>
              </w:rPr>
              <w:t xml:space="preserve"> M</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98</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0.28</w:t>
            </w:r>
          </w:p>
          <w:p w:rsidR="00657426" w:rsidRPr="001E1BF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0.95</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0.34</w:t>
            </w:r>
          </w:p>
          <w:p w:rsidR="00657426" w:rsidRPr="00CF08B5" w:rsidRDefault="00657426" w:rsidP="00986537">
            <w:pPr>
              <w:spacing w:line="480" w:lineRule="auto"/>
              <w:cnfStyle w:val="000000000000"/>
              <w:rPr>
                <w:rFonts w:ascii="Calibri" w:eastAsia="Times New Roman" w:hAnsi="Calibri" w:cs="Calibri"/>
                <w:b/>
                <w:color w:val="000000"/>
                <w:sz w:val="22"/>
                <w:szCs w:val="22"/>
              </w:rPr>
            </w:pPr>
            <w:r w:rsidRPr="00CF08B5">
              <w:rPr>
                <w:rFonts w:ascii="Calibri" w:eastAsia="Times New Roman" w:hAnsi="Calibri" w:cs="Calibri"/>
                <w:b/>
                <w:color w:val="000000"/>
                <w:sz w:val="22"/>
                <w:szCs w:val="22"/>
              </w:rPr>
              <w:t>0.0</w:t>
            </w:r>
            <w:r>
              <w:rPr>
                <w:rFonts w:ascii="Calibri" w:eastAsia="Times New Roman" w:hAnsi="Calibri" w:cs="Calibri"/>
                <w:b/>
                <w:color w:val="000000"/>
                <w:sz w:val="22"/>
                <w:szCs w:val="22"/>
              </w:rPr>
              <w:t>3</w:t>
            </w:r>
            <w:r w:rsidRPr="00CF08B5">
              <w:rPr>
                <w:rFonts w:ascii="Calibri" w:eastAsia="Times New Roman" w:hAnsi="Calibri" w:cs="Calibri"/>
                <w:b/>
                <w:color w:val="000000"/>
                <w:sz w:val="22"/>
                <w:szCs w:val="22"/>
              </w:rPr>
              <w:t xml:space="preserve"> L</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0.33</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rPr>
          <w:cnfStyle w:val="0000001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lastRenderedPageBreak/>
              <w:t>Life-form</w:t>
            </w:r>
          </w:p>
        </w:tc>
        <w:tc>
          <w:tcPr>
            <w:tcW w:w="585" w:type="dxa"/>
            <w:shd w:val="clear" w:color="auto" w:fill="FFFFFF" w:themeFill="background1"/>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40</w:t>
            </w:r>
          </w:p>
        </w:tc>
        <w:tc>
          <w:tcPr>
            <w:tcW w:w="1368"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38</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0.23</w:t>
            </w:r>
          </w:p>
        </w:tc>
        <w:tc>
          <w:tcPr>
            <w:tcW w:w="1159" w:type="dxa"/>
            <w:shd w:val="clear" w:color="auto" w:fill="FFFFFF" w:themeFill="background1"/>
          </w:tcPr>
          <w:p w:rsidR="00657426" w:rsidRPr="00773928"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0.03</w:t>
            </w:r>
            <w:r w:rsidRPr="00773928">
              <w:rPr>
                <w:rFonts w:ascii="Calibri" w:eastAsia="Times New Roman" w:hAnsi="Calibri" w:cs="Calibri"/>
                <w:b/>
                <w:color w:val="000000"/>
                <w:sz w:val="22"/>
                <w:szCs w:val="22"/>
              </w:rPr>
              <w:t xml:space="preserve"> M</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0.31</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0.18</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50</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w:t>
            </w:r>
            <w:r w:rsidRPr="00B11695">
              <w:rPr>
                <w:rFonts w:ascii="Calibri" w:eastAsia="Times New Roman" w:hAnsi="Calibri" w:cs="Calibri"/>
                <w:color w:val="000000"/>
                <w:sz w:val="22"/>
                <w:szCs w:val="22"/>
              </w:rPr>
              <w:t>.</w:t>
            </w:r>
            <w:r>
              <w:rPr>
                <w:rFonts w:ascii="Calibri" w:eastAsia="Times New Roman" w:hAnsi="Calibri" w:cs="Calibri"/>
                <w:color w:val="000000"/>
                <w:sz w:val="22"/>
                <w:szCs w:val="22"/>
              </w:rPr>
              <w:t>95</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0.97</w:t>
            </w:r>
          </w:p>
        </w:tc>
        <w:tc>
          <w:tcPr>
            <w:tcW w:w="2091" w:type="dxa"/>
            <w:shd w:val="clear" w:color="auto" w:fill="FFFFFF" w:themeFill="background1"/>
          </w:tcPr>
          <w:p w:rsidR="00657426" w:rsidRPr="00773928" w:rsidRDefault="00657426" w:rsidP="00986537">
            <w:pPr>
              <w:spacing w:line="480" w:lineRule="auto"/>
              <w:cnfStyle w:val="000000100000"/>
              <w:rPr>
                <w:rFonts w:ascii="Calibri" w:eastAsia="Times New Roman" w:hAnsi="Calibri" w:cs="Calibri"/>
                <w:b/>
                <w:color w:val="000000"/>
                <w:sz w:val="22"/>
                <w:szCs w:val="22"/>
              </w:rPr>
            </w:pPr>
            <w:r w:rsidRPr="00773928">
              <w:rPr>
                <w:rFonts w:ascii="Calibri" w:eastAsia="Times New Roman" w:hAnsi="Calibri" w:cs="Calibri"/>
                <w:b/>
                <w:color w:val="000000"/>
                <w:sz w:val="22"/>
                <w:szCs w:val="22"/>
              </w:rPr>
              <w:t>0.00</w:t>
            </w:r>
            <w:r>
              <w:rPr>
                <w:rFonts w:ascii="Calibri" w:eastAsia="Times New Roman" w:hAnsi="Calibri" w:cs="Calibri"/>
                <w:b/>
                <w:color w:val="000000"/>
                <w:sz w:val="22"/>
                <w:szCs w:val="22"/>
              </w:rPr>
              <w:t>4</w:t>
            </w:r>
            <w:r w:rsidRPr="00773928">
              <w:rPr>
                <w:rFonts w:ascii="Calibri" w:eastAsia="Times New Roman" w:hAnsi="Calibri" w:cs="Calibri"/>
                <w:b/>
                <w:color w:val="000000"/>
                <w:sz w:val="22"/>
                <w:szCs w:val="22"/>
              </w:rPr>
              <w:t xml:space="preserve"> M</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w:t>
            </w:r>
            <w:r w:rsidRPr="00B11695">
              <w:rPr>
                <w:rFonts w:ascii="Calibri" w:eastAsia="Times New Roman" w:hAnsi="Calibri" w:cs="Calibri"/>
                <w:color w:val="000000"/>
                <w:sz w:val="22"/>
                <w:szCs w:val="22"/>
              </w:rPr>
              <w:t>.</w:t>
            </w:r>
            <w:r>
              <w:rPr>
                <w:rFonts w:ascii="Calibri" w:eastAsia="Times New Roman" w:hAnsi="Calibri" w:cs="Calibri"/>
                <w:color w:val="000000"/>
                <w:sz w:val="22"/>
                <w:szCs w:val="22"/>
              </w:rPr>
              <w:t>45</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w:t>
            </w:r>
            <w:r w:rsidRPr="00B11695">
              <w:rPr>
                <w:rFonts w:ascii="Calibri" w:eastAsia="Times New Roman" w:hAnsi="Calibri" w:cs="Calibri"/>
                <w:color w:val="000000"/>
                <w:sz w:val="22"/>
                <w:szCs w:val="22"/>
              </w:rPr>
              <w:t>.7</w:t>
            </w:r>
            <w:r>
              <w:rPr>
                <w:rFonts w:ascii="Calibri" w:eastAsia="Times New Roman" w:hAnsi="Calibri" w:cs="Calibri"/>
                <w:color w:val="000000"/>
                <w:sz w:val="22"/>
                <w:szCs w:val="22"/>
              </w:rPr>
              <w:t>7</w:t>
            </w:r>
          </w:p>
        </w:tc>
        <w:tc>
          <w:tcPr>
            <w:tcW w:w="495" w:type="dxa"/>
            <w:shd w:val="clear" w:color="auto" w:fill="FFFFFF" w:themeFill="background1"/>
          </w:tcPr>
          <w:p w:rsidR="00657426" w:rsidRDefault="00657426" w:rsidP="00986537">
            <w:pPr>
              <w:spacing w:line="480" w:lineRule="auto"/>
              <w:cnfStyle w:val="000000100000"/>
              <w:rPr>
                <w:rFonts w:ascii="Calibri" w:eastAsia="Times New Roman" w:hAnsi="Calibri" w:cs="Calibri"/>
                <w:color w:val="000000"/>
                <w:sz w:val="22"/>
                <w:szCs w:val="22"/>
              </w:rPr>
            </w:pP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Pr="00773928"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color w:val="000000"/>
                <w:sz w:val="22"/>
                <w:szCs w:val="22"/>
              </w:rPr>
              <w:t>AG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Domesticated</w:t>
            </w:r>
          </w:p>
        </w:tc>
        <w:tc>
          <w:tcPr>
            <w:tcW w:w="585" w:type="dxa"/>
            <w:shd w:val="clear" w:color="auto" w:fill="FFFFFF" w:themeFill="background1"/>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0.69</w:t>
            </w:r>
          </w:p>
        </w:tc>
        <w:tc>
          <w:tcPr>
            <w:tcW w:w="1159"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0.58</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0.10</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 xml:space="preserve">0.18 </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p>
        </w:tc>
      </w:tr>
      <w:tr w:rsidR="00657426" w:rsidRPr="001E1BF6" w:rsidTr="003A0F42">
        <w:trPr>
          <w:cnfStyle w:val="000000100000"/>
          <w:trHeight w:val="8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p>
        </w:tc>
        <w:tc>
          <w:tcPr>
            <w:tcW w:w="585" w:type="dxa"/>
            <w:shd w:val="clear" w:color="auto" w:fill="FFFFFF" w:themeFill="background1"/>
            <w:noWrap/>
          </w:tcPr>
          <w:p w:rsidR="00657426" w:rsidRDefault="00657426" w:rsidP="00986537">
            <w:pPr>
              <w:spacing w:line="480" w:lineRule="auto"/>
              <w:jc w:val="right"/>
              <w:cnfStyle w:val="000000100000"/>
              <w:rPr>
                <w:rFonts w:ascii="Calibri" w:eastAsia="Times New Roman" w:hAnsi="Calibri" w:cs="Calibri"/>
                <w:color w:val="000000"/>
                <w:sz w:val="22"/>
                <w:szCs w:val="22"/>
              </w:rPr>
            </w:pPr>
          </w:p>
        </w:tc>
        <w:tc>
          <w:tcPr>
            <w:tcW w:w="1368"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0.69</w:t>
            </w:r>
          </w:p>
        </w:tc>
        <w:tc>
          <w:tcPr>
            <w:tcW w:w="1159"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64</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0.93</w:t>
            </w:r>
          </w:p>
        </w:tc>
        <w:tc>
          <w:tcPr>
            <w:tcW w:w="2091" w:type="dxa"/>
            <w:shd w:val="clear" w:color="auto" w:fill="FFFFFF" w:themeFill="background1"/>
          </w:tcPr>
          <w:p w:rsidR="00657426" w:rsidRPr="001E1BF6" w:rsidRDefault="00657426" w:rsidP="00986537">
            <w:pPr>
              <w:spacing w:line="480" w:lineRule="auto"/>
              <w:cnfStyle w:val="000000100000"/>
              <w:rPr>
                <w:rFonts w:ascii="Calibri" w:eastAsia="Times New Roman" w:hAnsi="Calibri" w:cs="Calibri"/>
                <w:color w:val="000000"/>
                <w:sz w:val="22"/>
                <w:szCs w:val="22"/>
              </w:rPr>
            </w:pPr>
            <w:r w:rsidRPr="001E1BF6">
              <w:rPr>
                <w:rFonts w:ascii="Calibri" w:eastAsia="Times New Roman" w:hAnsi="Calibri" w:cs="Calibri"/>
                <w:color w:val="000000"/>
                <w:sz w:val="22"/>
                <w:szCs w:val="22"/>
              </w:rPr>
              <w:t>0.14</w:t>
            </w:r>
          </w:p>
        </w:tc>
        <w:tc>
          <w:tcPr>
            <w:tcW w:w="495" w:type="dxa"/>
            <w:shd w:val="clear" w:color="auto" w:fill="FFFFFF" w:themeFill="background1"/>
          </w:tcPr>
          <w:p w:rsidR="00657426" w:rsidRPr="001E1BF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p>
        </w:tc>
        <w:tc>
          <w:tcPr>
            <w:tcW w:w="585" w:type="dxa"/>
            <w:shd w:val="clear" w:color="auto" w:fill="FFFFFF" w:themeFill="background1"/>
            <w:noWrap/>
          </w:tcPr>
          <w:p w:rsidR="00657426" w:rsidRDefault="00657426" w:rsidP="00986537">
            <w:pPr>
              <w:spacing w:line="480" w:lineRule="auto"/>
              <w:jc w:val="right"/>
              <w:cnfStyle w:val="000000000000"/>
              <w:rPr>
                <w:rFonts w:ascii="Calibri" w:eastAsia="Times New Roman" w:hAnsi="Calibri" w:cs="Calibri"/>
                <w:color w:val="000000"/>
                <w:sz w:val="22"/>
                <w:szCs w:val="22"/>
              </w:rPr>
            </w:pP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0.61</w:t>
            </w:r>
          </w:p>
        </w:tc>
        <w:tc>
          <w:tcPr>
            <w:tcW w:w="1159"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0.71</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0.59</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0.15</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bl>
    <w:p w:rsidR="00657426" w:rsidRDefault="00657426" w:rsidP="00986537">
      <w:pPr>
        <w:spacing w:line="480" w:lineRule="auto"/>
      </w:pPr>
    </w:p>
    <w:p w:rsidR="00657426" w:rsidRDefault="00657426" w:rsidP="00986537">
      <w:pPr>
        <w:pStyle w:val="Heading3"/>
        <w:suppressAutoHyphens w:val="0"/>
        <w:autoSpaceDE w:val="0"/>
        <w:adjustRightInd w:val="0"/>
        <w:spacing w:line="480" w:lineRule="auto"/>
        <w:ind w:left="720" w:hanging="720"/>
        <w:textAlignment w:val="auto"/>
      </w:pPr>
      <w:r>
        <w:t>All data</w:t>
      </w:r>
    </w:p>
    <w:p w:rsidR="00657426" w:rsidRPr="00776B6B" w:rsidRDefault="00657426" w:rsidP="00986537">
      <w:pPr>
        <w:spacing w:line="480" w:lineRule="auto"/>
      </w:pPr>
      <w:r w:rsidRPr="0047598C">
        <w:rPr>
          <w:b/>
        </w:rPr>
        <w:t>Psychotropic items</w:t>
      </w:r>
      <w:r>
        <w:rPr>
          <w:b/>
        </w:rPr>
        <w:t xml:space="preserve"> </w:t>
      </w:r>
      <w:r w:rsidRPr="004C5F27">
        <w:t>are</w:t>
      </w:r>
      <w:r w:rsidRPr="006713FC">
        <w:t xml:space="preserve"> more likely to be loaned</w:t>
      </w:r>
      <w:r>
        <w:t xml:space="preserve"> and less likely to be inherited. These results hold also for agriculturalist groups; hunter-gatherers show the former but not the latter. These findings are interesting from the point of view of </w:t>
      </w:r>
      <w:proofErr w:type="spellStart"/>
      <w:r>
        <w:t>Sherratt’s</w:t>
      </w:r>
      <w:proofErr w:type="spellEnd"/>
      <w:r>
        <w:t xml:space="preserve"> work, particularly </w:t>
      </w:r>
      <w:proofErr w:type="spellStart"/>
      <w:r>
        <w:t>Sherratt</w:t>
      </w:r>
      <w:proofErr w:type="spellEnd"/>
      <w:r>
        <w:t xml:space="preserve"> </w:t>
      </w:r>
      <w:r>
        <w:rPr>
          <w:noProof/>
        </w:rPr>
        <w:t>(1995)</w:t>
      </w:r>
      <w:r>
        <w:t xml:space="preserve">. First, though Sherratt (1995:1) points out that the rigid distinction between “drugs” and “food” that many Western post-industrial cultures (including English speakers) make is not a universal, our findings point to a significant etymological difference between the two categories, and in particular a special status of psychotropic substances as diffusible across culture areas. </w:t>
      </w:r>
      <w:proofErr w:type="spellStart"/>
      <w:r>
        <w:t>Sherratt’s</w:t>
      </w:r>
      <w:proofErr w:type="spellEnd"/>
      <w:r>
        <w:t xml:space="preserve"> own work highlights the importance of such substances in “consumption rituals” (Sherratt 1995: 4) and notes the instability of certain cultural practices associated with psychoactive substances, particularly kava in the Pacific and alcohol and opium in England. The psychotropic substances in our sample, particularly tobacco</w:t>
      </w:r>
      <w:r w:rsidRPr="00776B6B">
        <w:t xml:space="preserve"> </w:t>
      </w:r>
      <w:r>
        <w:rPr>
          <w:noProof/>
        </w:rPr>
        <w:t>(Lightfoot and Parrish 2009:348)</w:t>
      </w:r>
      <w:r>
        <w:t xml:space="preserve"> and </w:t>
      </w:r>
      <w:proofErr w:type="spellStart"/>
      <w:r>
        <w:t>pitchuri</w:t>
      </w:r>
      <w:proofErr w:type="spellEnd"/>
      <w:r>
        <w:t xml:space="preserve"> </w:t>
      </w:r>
      <w:r>
        <w:rPr>
          <w:noProof/>
        </w:rPr>
        <w:t>(Johnston and Cleland 1933)</w:t>
      </w:r>
      <w:r>
        <w:t xml:space="preserve">, are widely traded in their regions. We presume that terms for </w:t>
      </w:r>
      <w:proofErr w:type="spellStart"/>
      <w:r>
        <w:t>psychotropics</w:t>
      </w:r>
      <w:proofErr w:type="spellEnd"/>
      <w:r>
        <w:t xml:space="preserve"> behave differently from other consumables because of their high desirability, which leads to rapid and pervasive spread. As seen below, however, trade overall was not a significant predictor of </w:t>
      </w:r>
      <w:r>
        <w:lastRenderedPageBreak/>
        <w:t xml:space="preserve">borrowability. </w:t>
      </w:r>
      <w:proofErr w:type="spellStart"/>
      <w:r>
        <w:t>Psychotropics</w:t>
      </w:r>
      <w:proofErr w:type="spellEnd"/>
      <w:r>
        <w:t xml:space="preserve"> may also be important in ritual and mythology, adding to their cultural salience, though note again that mythology was not a significant predictor of loanhood alone.  </w:t>
      </w:r>
    </w:p>
    <w:p w:rsidR="00657426" w:rsidRDefault="00657426" w:rsidP="00986537">
      <w:pPr>
        <w:spacing w:line="480" w:lineRule="auto"/>
      </w:pPr>
    </w:p>
    <w:p w:rsidR="00657426" w:rsidRPr="0047598C" w:rsidRDefault="00657426" w:rsidP="00986537">
      <w:pPr>
        <w:spacing w:line="480" w:lineRule="auto"/>
      </w:pPr>
      <w:r w:rsidRPr="0047598C">
        <w:rPr>
          <w:b/>
        </w:rPr>
        <w:t xml:space="preserve">Traded items: </w:t>
      </w:r>
      <w:r w:rsidRPr="00E94408">
        <w:t>There was n</w:t>
      </w:r>
      <w:r>
        <w:t xml:space="preserve">o significant interaction in the data set. This was unexpected, since it contradicts both intuition and known individual cases of words such as  </w:t>
      </w:r>
      <w:r w:rsidRPr="005936A8">
        <w:rPr>
          <w:i/>
        </w:rPr>
        <w:t>coffee</w:t>
      </w:r>
      <w:r>
        <w:t xml:space="preserve"> and </w:t>
      </w:r>
      <w:r w:rsidRPr="005936A8">
        <w:rPr>
          <w:i/>
        </w:rPr>
        <w:t>tea</w:t>
      </w:r>
      <w:r>
        <w:t xml:space="preserve"> </w:t>
      </w:r>
      <w:r>
        <w:rPr>
          <w:noProof/>
        </w:rPr>
        <w:t>(which are both widely traded and loaned; see e.g. Dahl 2011)</w:t>
      </w:r>
      <w:r>
        <w:t xml:space="preserve">. Moreover, several of the most highly loaned items in the dataset are also widely traded: </w:t>
      </w:r>
      <w:proofErr w:type="spellStart"/>
      <w:r>
        <w:t>pearlshell</w:t>
      </w:r>
      <w:proofErr w:type="spellEnd"/>
      <w:r>
        <w:t xml:space="preserve"> in Australia is an example, as is chia in California. These results imply, however, that trade alone, particularly items with a long history of use, is not </w:t>
      </w:r>
      <w:r>
        <w:rPr>
          <w:rStyle w:val="CommentReference"/>
          <w:vanish/>
        </w:rPr>
        <w:t>is not</w:t>
      </w:r>
      <w:r>
        <w:t xml:space="preserve">enough to imply loanhood. Some widespread modern trade items with high loan status, such as </w:t>
      </w:r>
      <w:r w:rsidRPr="009D0794">
        <w:rPr>
          <w:i/>
        </w:rPr>
        <w:t>coffee</w:t>
      </w:r>
      <w:r>
        <w:t xml:space="preserve"> and</w:t>
      </w:r>
      <w:r>
        <w:rPr>
          <w:i/>
        </w:rPr>
        <w:t xml:space="preserve"> tea, </w:t>
      </w:r>
      <w:r>
        <w:t>are also addictive substances. It may be that sufficiently many items are traded in areas like Amazonia that sampling like this does not reveal true patterns. Alternatively, it may be that trade, overall, really does not have a significant single effect on loan likelihood, given the number of other factors which may lead to loanhood. Finally, it may be that certain traded items are specializations by particular communities, but have been around for a very long time, and may have been more generally produced in the past (however, specialization is not for the most part tied directly to resource accessibility, at least not in the northwest Amazon). Further discussion can be found below.</w:t>
      </w:r>
    </w:p>
    <w:p w:rsidR="00657426" w:rsidRPr="006713FC" w:rsidRDefault="00657426" w:rsidP="00986537">
      <w:pPr>
        <w:spacing w:line="480" w:lineRule="auto"/>
      </w:pPr>
    </w:p>
    <w:p w:rsidR="00657426" w:rsidRPr="006713FC" w:rsidRDefault="00657426" w:rsidP="00986537">
      <w:pPr>
        <w:spacing w:line="480" w:lineRule="auto"/>
      </w:pPr>
      <w:r w:rsidRPr="0047598C">
        <w:rPr>
          <w:b/>
        </w:rPr>
        <w:t>Eaten items</w:t>
      </w:r>
      <w:r w:rsidRPr="006713FC">
        <w:t xml:space="preserve">: </w:t>
      </w:r>
      <w:r>
        <w:t xml:space="preserve">Items associated with survival were significantly </w:t>
      </w:r>
      <w:r w:rsidRPr="006713FC">
        <w:t>more likely to be inherited</w:t>
      </w:r>
      <w:r>
        <w:t xml:space="preserve">. This finding is consistent with previous work (e.g. Brown et al. </w:t>
      </w:r>
      <w:r>
        <w:rPr>
          <w:noProof/>
        </w:rPr>
        <w:t>(1976)</w:t>
      </w:r>
      <w:r>
        <w:t xml:space="preserve"> and Berlin </w:t>
      </w:r>
      <w:r>
        <w:rPr>
          <w:noProof/>
        </w:rPr>
        <w:t>(1973)</w:t>
      </w:r>
      <w:r>
        <w:t xml:space="preserve">) that implies that culturally central items will have stable nomenclature. The effect was </w:t>
      </w:r>
      <w:r>
        <w:lastRenderedPageBreak/>
        <w:t xml:space="preserve">found both overall and in the agriculturalist groups but not in the sample of hunter-gatherer languages. </w:t>
      </w:r>
    </w:p>
    <w:p w:rsidR="00657426" w:rsidRDefault="00657426" w:rsidP="00986537">
      <w:pPr>
        <w:spacing w:line="480" w:lineRule="auto"/>
      </w:pPr>
    </w:p>
    <w:p w:rsidR="00657426" w:rsidRDefault="00657426" w:rsidP="00986537">
      <w:pPr>
        <w:spacing w:line="480" w:lineRule="auto"/>
      </w:pPr>
      <w:r>
        <w:rPr>
          <w:b/>
        </w:rPr>
        <w:t>Dangerous items:</w:t>
      </w:r>
      <w:r>
        <w:t xml:space="preserve"> Poisonous or dangerous flora/fauna were less likely to be loaned. In the hunter-gatherer dataset alone, they also showed a greater tendency to be inherited and to undergo semantic shift. This latter fact may be associated with the widespread practice of taboo replacement and euphemism (what Burridge </w:t>
      </w:r>
      <w:r>
        <w:rPr>
          <w:noProof/>
        </w:rPr>
        <w:t>(2012)</w:t>
      </w:r>
      <w:r>
        <w:t xml:space="preserve"> has called ‘protective euphemisms’</w:t>
      </w:r>
      <w:r>
        <w:rPr>
          <w:rStyle w:val="EndnoteReference"/>
        </w:rPr>
        <w:endnoteReference w:id="12"/>
      </w:r>
      <w:r>
        <w:t xml:space="preserve">) associated with dangerous animals. It is, perhaps, surprising that this effect was significant only in the hunter-gatherer groups, since many of the best attested cases of protective euphemisms associated with animals come from agriculturalist societies. Consider, for example, the taboo deformation of words for ‘wolf’ and ‘bear’ in the Indo-European family </w:t>
      </w:r>
      <w:r>
        <w:rPr>
          <w:noProof/>
        </w:rPr>
        <w:t>(Watkins 2000:xxvi)</w:t>
      </w:r>
      <w:r>
        <w:t>. Protective euphemism should also lead to less rather than greater etymological stability.</w:t>
      </w:r>
    </w:p>
    <w:p w:rsidR="00657426" w:rsidRDefault="00657426" w:rsidP="00986537">
      <w:pPr>
        <w:spacing w:line="480" w:lineRule="auto"/>
      </w:pPr>
    </w:p>
    <w:p w:rsidR="00657426" w:rsidRDefault="00657426" w:rsidP="00986537">
      <w:pPr>
        <w:spacing w:line="480" w:lineRule="auto"/>
      </w:pPr>
      <w:r>
        <w:rPr>
          <w:b/>
        </w:rPr>
        <w:t>Mythological</w:t>
      </w:r>
      <w:r>
        <w:t xml:space="preserve"> or other </w:t>
      </w:r>
      <w:r>
        <w:rPr>
          <w:b/>
        </w:rPr>
        <w:t xml:space="preserve">ritually significant </w:t>
      </w:r>
      <w:r>
        <w:t xml:space="preserve">terms were more likely to be loaned but the effect was above the threshold for significance. When not controlling for area, mythological items did show a significant (p = 0.008) tendency to be loaned among hunter-gatherer groups. However, this result was likely primarily driven by high loan psychotropic items like tobacco in the North American sample. </w:t>
      </w:r>
    </w:p>
    <w:p w:rsidR="00657426" w:rsidRDefault="00657426" w:rsidP="00986537">
      <w:pPr>
        <w:spacing w:line="480" w:lineRule="auto"/>
      </w:pPr>
    </w:p>
    <w:p w:rsidR="00657426" w:rsidRDefault="00657426" w:rsidP="00986537">
      <w:pPr>
        <w:spacing w:line="480" w:lineRule="auto"/>
      </w:pPr>
      <w:r>
        <w:rPr>
          <w:b/>
        </w:rPr>
        <w:t>Life form</w:t>
      </w:r>
      <w:r w:rsidRPr="004A5C86">
        <w:rPr>
          <w:b/>
        </w:rPr>
        <w:t xml:space="preserve"> </w:t>
      </w:r>
      <w:r>
        <w:rPr>
          <w:b/>
        </w:rPr>
        <w:t>terms</w:t>
      </w:r>
      <w:r w:rsidRPr="006713FC">
        <w:t xml:space="preserve">: </w:t>
      </w:r>
      <w:r>
        <w:t xml:space="preserve">Unique beginner and life form terms were </w:t>
      </w:r>
      <w:r w:rsidRPr="006713FC">
        <w:t>more likely to undergo semantic shift</w:t>
      </w:r>
      <w:r>
        <w:t xml:space="preserve">. This may reflect some ambiguity in the sources, where items were glossed as more general than their reference in the language in fact denotes. It may, however, be a </w:t>
      </w:r>
      <w:r>
        <w:lastRenderedPageBreak/>
        <w:t xml:space="preserve">real phenomenon within the data. It is found in the ‘fish’ ~ ‘meat’ polysemy in Australia, for example, as described in McConvell </w:t>
      </w:r>
      <w:r>
        <w:rPr>
          <w:noProof/>
        </w:rPr>
        <w:t>(1997)</w:t>
      </w:r>
      <w:r>
        <w:t xml:space="preserve">. McConvell describes cases where a word undergoes semantic change from a generic term to a specific term for the most common species in an area. The reverse change is also found. Within our sample, semantic shift was significantly more likely when considering the full dataset, but was not significant in either AG or HG groups alone. </w:t>
      </w:r>
    </w:p>
    <w:p w:rsidR="00657426" w:rsidRPr="0097442B" w:rsidRDefault="00657426" w:rsidP="00986537">
      <w:pPr>
        <w:spacing w:line="480" w:lineRule="auto"/>
        <w:ind w:firstLine="720"/>
      </w:pPr>
      <w:r>
        <w:t xml:space="preserve">Terms with generic reference were also more likely to be inherited, though again this effect was not seen in HG or AG groups when considered independently. These results suggest that such terms are, on the whole quite stable (though when changing, subject to change by semantic shift). The stability of such terms across the sample is interesting in the light of claims by Brown </w:t>
      </w:r>
      <w:r w:rsidRPr="008206CC">
        <w:t>et al.</w:t>
      </w:r>
      <w:r w:rsidRPr="000A1DB8">
        <w:t xml:space="preserve"> </w:t>
      </w:r>
      <w:r>
        <w:rPr>
          <w:noProof/>
        </w:rPr>
        <w:t>(1976)</w:t>
      </w:r>
      <w:r>
        <w:t xml:space="preserve"> that such terms are of recent origin in hunter-gatherer languages.</w:t>
      </w:r>
      <w:r w:rsidDel="0097442B">
        <w:rPr>
          <w:rStyle w:val="EndnoteReference"/>
        </w:rPr>
        <w:t xml:space="preserve"> </w:t>
      </w:r>
      <w:r>
        <w:t xml:space="preserve"> We find no evidence for recent adoption of these terms. One term for bird, </w:t>
      </w:r>
      <w:proofErr w:type="spellStart"/>
      <w:r w:rsidRPr="00657426">
        <w:rPr>
          <w:b/>
          <w:i/>
        </w:rPr>
        <w:t>jurlak</w:t>
      </w:r>
      <w:proofErr w:type="spellEnd"/>
      <w:r>
        <w:rPr>
          <w:i/>
        </w:rPr>
        <w:t xml:space="preserve"> </w:t>
      </w:r>
      <w:r>
        <w:t xml:space="preserve">(and related forms), is most likely a Wanderwort, but is not a recent spread. It has clearly been borrowed across a large number of both Pama-Nyungan and non-Pama-Nyungan languages in Northeastern Australia, but shows too many sound changes to be a recent loan. Generic terms were missing in some hunter-gatherer languages in the sample. In Australia, for example, it is known that languages differ in the number of life form terms they have. Wati and Karnic languages, for example, tend to lack a generic term for ‘snake’ (though having a proliferation of terms for individual species), while such a term is found in most Kimberley languages. Because of the difficulties in determining whether a term is genuinely not found in the language or simply not recorded, we treated all such data as “missing”. If Brown et al. are correct, however, we would expect those languages which have terms to have innovated them recently, and therefore not to show strongly inheritance </w:t>
      </w:r>
      <w:r>
        <w:lastRenderedPageBreak/>
        <w:t>patterns in this category. Our results imply that a more detailed study of life-form terms would be profitable.</w:t>
      </w:r>
    </w:p>
    <w:p w:rsidR="00657426" w:rsidRDefault="00657426" w:rsidP="00986537">
      <w:pPr>
        <w:spacing w:line="480" w:lineRule="auto"/>
        <w:rPr>
          <w:b/>
        </w:rPr>
      </w:pPr>
    </w:p>
    <w:p w:rsidR="00657426" w:rsidRPr="004A5C86" w:rsidRDefault="00657426" w:rsidP="00986537">
      <w:pPr>
        <w:spacing w:line="480" w:lineRule="auto"/>
      </w:pPr>
      <w:r>
        <w:rPr>
          <w:b/>
        </w:rPr>
        <w:t xml:space="preserve">Domesticates: </w:t>
      </w:r>
      <w:r>
        <w:t>One might expect terms for domesticates to be more prone to borrowing by hunter-gatherers (see below for further discussion of this point), since by definition, they lack community-internal agricultural resources. We might alternatively expect domesticates to be culturally salient both among agriculturalists and among hunter-gatherers, though for different reasons. Domesticates are considered culturally salient in agriculturalist communities because of their central role in group survival (a category, as seen above, which does show significant etymological stability). In hunter-gatherer groups, however, domesticates might be considered salient because they are worth trading for. However, c</w:t>
      </w:r>
      <w:r w:rsidRPr="00280038">
        <w:t xml:space="preserve">ultivated </w:t>
      </w:r>
      <w:r>
        <w:t>flora/fauna overall do not show any significant trends in our sample. We subsequently considered cultivated flora only: they were significantly more likely to be inherited or unique, and less likely to be loaned or to have undergone semantic shift. That is, all etyma categories showed significant skewing and there is some support for the centrality of cultivated flora stability (perhaps as related to in-group survival).</w:t>
      </w:r>
      <w:r>
        <w:rPr>
          <w:rStyle w:val="EndnoteReference"/>
        </w:rPr>
        <w:endnoteReference w:id="13"/>
      </w:r>
    </w:p>
    <w:p w:rsidR="00657426" w:rsidRPr="006713FC" w:rsidRDefault="00657426" w:rsidP="00986537">
      <w:pPr>
        <w:spacing w:line="480" w:lineRule="auto"/>
      </w:pPr>
    </w:p>
    <w:p w:rsidR="00657426" w:rsidRDefault="00657426" w:rsidP="00986537">
      <w:pPr>
        <w:spacing w:line="480" w:lineRule="auto"/>
      </w:pPr>
      <w:r>
        <w:rPr>
          <w:b/>
        </w:rPr>
        <w:t>Flora and Fauna:</w:t>
      </w:r>
      <w:r w:rsidR="006E5952">
        <w:t xml:space="preserve"> Table 5</w:t>
      </w:r>
      <w:r>
        <w:t xml:space="preserve"> gives the results for different types of flora and fauna. No significant differences were found between flora and fauna in the dataset, though unique terms among agriculturalists approached significance for flora. Terms for mammals were significantly both less likely to be unique and more likely to be inherited; this result probably has to do with the general importance of mammals as objects of the hunt and sources of food within the sample.</w:t>
      </w:r>
      <w:r>
        <w:rPr>
          <w:rStyle w:val="EndnoteReference"/>
        </w:rPr>
        <w:endnoteReference w:id="14"/>
      </w:r>
      <w:r>
        <w:t xml:space="preserve"> The lack of loans in insect terminology is intriguing. </w:t>
      </w:r>
      <w:r>
        <w:lastRenderedPageBreak/>
        <w:t>The significantly unique status of insect terms may reflect their general lack of ‘usefulness’, resulting in frequent replacement and, similarly, little relevance in cross-linguistic interactions (we note that while some insects are regularly eaten in these regions, most of those included within our sample are not).</w:t>
      </w:r>
    </w:p>
    <w:p w:rsidR="00657426" w:rsidRPr="00AE6C7F" w:rsidRDefault="00657426" w:rsidP="00986537">
      <w:pPr>
        <w:spacing w:line="480" w:lineRule="auto"/>
      </w:pPr>
    </w:p>
    <w:p w:rsidR="00657426" w:rsidRDefault="00657426" w:rsidP="00986537">
      <w:pPr>
        <w:pStyle w:val="Caption"/>
        <w:keepNext/>
        <w:spacing w:line="480" w:lineRule="auto"/>
      </w:pPr>
      <w:r>
        <w:t xml:space="preserve">Table </w:t>
      </w:r>
      <w:r w:rsidR="00590C4E">
        <w:fldChar w:fldCharType="begin"/>
      </w:r>
      <w:r w:rsidR="0083600B">
        <w:instrText xml:space="preserve"> SEQ Table \* ARABIC </w:instrText>
      </w:r>
      <w:r w:rsidR="00590C4E">
        <w:fldChar w:fldCharType="separate"/>
      </w:r>
      <w:r w:rsidR="00367B50">
        <w:rPr>
          <w:noProof/>
        </w:rPr>
        <w:t>5</w:t>
      </w:r>
      <w:r w:rsidR="00590C4E">
        <w:rPr>
          <w:noProof/>
        </w:rPr>
        <w:fldChar w:fldCharType="end"/>
      </w:r>
      <w:r>
        <w:t xml:space="preserve"> Flora and Fauna subsets</w:t>
      </w:r>
    </w:p>
    <w:tbl>
      <w:tblPr>
        <w:tblStyle w:val="LightShading"/>
        <w:tblW w:w="8717" w:type="dxa"/>
        <w:tblLook w:val="04A0"/>
      </w:tblPr>
      <w:tblGrid>
        <w:gridCol w:w="1531"/>
        <w:gridCol w:w="960"/>
        <w:gridCol w:w="1460"/>
        <w:gridCol w:w="1526"/>
        <w:gridCol w:w="1620"/>
        <w:gridCol w:w="1620"/>
      </w:tblGrid>
      <w:tr w:rsidR="00657426" w:rsidRPr="00BD58CD">
        <w:trPr>
          <w:cnfStyle w:val="1000000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Category</w:t>
            </w:r>
          </w:p>
        </w:tc>
        <w:tc>
          <w:tcPr>
            <w:tcW w:w="960" w:type="dxa"/>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N</w:t>
            </w:r>
          </w:p>
        </w:tc>
        <w:tc>
          <w:tcPr>
            <w:tcW w:w="1460" w:type="dxa"/>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Loan</w:t>
            </w:r>
          </w:p>
        </w:tc>
        <w:tc>
          <w:tcPr>
            <w:tcW w:w="1526" w:type="dxa"/>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Inherited</w:t>
            </w:r>
          </w:p>
        </w:tc>
        <w:tc>
          <w:tcPr>
            <w:tcW w:w="1620" w:type="dxa"/>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Unique</w:t>
            </w:r>
          </w:p>
        </w:tc>
        <w:tc>
          <w:tcPr>
            <w:tcW w:w="1620" w:type="dxa"/>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Semantic Shift</w:t>
            </w: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Flora</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100</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0.11</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0.94</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0.25</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tc>
      </w:tr>
      <w:tr w:rsidR="00657426">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Fauna</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285</w:t>
            </w:r>
          </w:p>
        </w:tc>
        <w:tc>
          <w:tcPr>
            <w:tcW w:w="1460" w:type="dxa"/>
          </w:tcPr>
          <w:p w:rsidR="00657426" w:rsidRDefault="00657426" w:rsidP="00986537">
            <w:pPr>
              <w:spacing w:line="480" w:lineRule="auto"/>
              <w:cnfStyle w:val="000000000000"/>
              <w:rPr>
                <w:rFonts w:ascii="Calibri" w:eastAsia="Times New Roman" w:hAnsi="Calibri" w:cs="Calibri"/>
                <w:color w:val="000000"/>
                <w:sz w:val="22"/>
                <w:szCs w:val="22"/>
              </w:rPr>
            </w:pP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Bird</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80</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0.35</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0.06</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0.84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0.08</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0.48</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0.16</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0.13</w:t>
            </w:r>
          </w:p>
        </w:tc>
      </w:tr>
      <w:tr w:rsidR="00657426">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Mammal</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62</w:t>
            </w:r>
          </w:p>
        </w:tc>
        <w:tc>
          <w:tcPr>
            <w:tcW w:w="146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0.28</w:t>
            </w: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b/>
                <w:color w:val="000000"/>
                <w:sz w:val="22"/>
                <w:szCs w:val="22"/>
              </w:rPr>
              <w:t>0.001 M</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w:t>
            </w:r>
          </w:p>
          <w:p w:rsidR="00657426" w:rsidRPr="001C766E"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0.02</w:t>
            </w:r>
          </w:p>
        </w:tc>
        <w:tc>
          <w:tcPr>
            <w:tcW w:w="1620" w:type="dxa"/>
          </w:tcPr>
          <w:p w:rsidR="00657426"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&lt;0.001 L</w:t>
            </w:r>
          </w:p>
          <w:p w:rsidR="00657426"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0.003</w:t>
            </w:r>
          </w:p>
          <w:p w:rsidR="00657426" w:rsidRPr="00904DBC"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&lt;0.001 </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0.62</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0.53</w:t>
            </w: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Reptile</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27</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08</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0.007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0.73</w:t>
            </w:r>
          </w:p>
          <w:p w:rsidR="00657426" w:rsidRDefault="00657426" w:rsidP="00986537">
            <w:pPr>
              <w:spacing w:line="480" w:lineRule="auto"/>
              <w:cnfStyle w:val="000000100000"/>
              <w:rPr>
                <w:rFonts w:ascii="Calibri" w:eastAsia="Times New Roman" w:hAnsi="Calibri" w:cs="Calibri"/>
                <w:color w:val="000000"/>
                <w:sz w:val="22"/>
                <w:szCs w:val="22"/>
              </w:rPr>
            </w:pPr>
            <w:r w:rsidRPr="00686DA8">
              <w:rPr>
                <w:rFonts w:ascii="Calibri" w:eastAsia="Times New Roman" w:hAnsi="Calibri" w:cs="Calibri"/>
                <w:b/>
                <w:color w:val="000000"/>
                <w:sz w:val="22"/>
                <w:szCs w:val="22"/>
              </w:rPr>
              <w:t>0.053</w:t>
            </w:r>
            <w:r>
              <w:rPr>
                <w:rFonts w:ascii="Calibri" w:eastAsia="Times New Roman" w:hAnsi="Calibri" w:cs="Calibri"/>
                <w:b/>
                <w:color w:val="000000"/>
                <w:sz w:val="22"/>
                <w:szCs w:val="22"/>
              </w:rPr>
              <w:t xml:space="preserve"> M</w:t>
            </w:r>
          </w:p>
        </w:tc>
      </w:tr>
      <w:tr w:rsidR="00657426">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Fish</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14</w:t>
            </w:r>
          </w:p>
        </w:tc>
        <w:tc>
          <w:tcPr>
            <w:tcW w:w="146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0.28</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Pr="0022229D" w:rsidRDefault="00657426" w:rsidP="00986537">
            <w:pPr>
              <w:spacing w:line="480" w:lineRule="auto"/>
              <w:cnfStyle w:val="0000000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w:t>
            </w:r>
            <w:r>
              <w:rPr>
                <w:rFonts w:ascii="Calibri" w:eastAsia="Times New Roman" w:hAnsi="Calibri" w:cs="Calibri"/>
                <w:color w:val="000000"/>
                <w:sz w:val="22"/>
                <w:szCs w:val="22"/>
              </w:rPr>
              <w:t>26</w:t>
            </w: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0.67</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0.26</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0.41</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0.25</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0.09</w:t>
            </w:r>
          </w:p>
        </w:tc>
        <w:tc>
          <w:tcPr>
            <w:tcW w:w="1620" w:type="dxa"/>
          </w:tcPr>
          <w:p w:rsidR="00657426"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0.03 L</w:t>
            </w:r>
          </w:p>
          <w:p w:rsidR="00657426"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&lt;0.001</w:t>
            </w:r>
          </w:p>
          <w:p w:rsidR="00657426" w:rsidRPr="004C5F27"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&lt;0.001</w:t>
            </w: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lastRenderedPageBreak/>
              <w:t>Plant</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61</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0.53</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w:t>
            </w:r>
          </w:p>
          <w:p w:rsidR="00657426" w:rsidRPr="00F877F9"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0.43</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0.55</w:t>
            </w:r>
          </w:p>
          <w:p w:rsidR="00657426" w:rsidRDefault="00657426" w:rsidP="00986537">
            <w:pPr>
              <w:spacing w:line="480" w:lineRule="auto"/>
              <w:cnfStyle w:val="0000001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0.05</w:t>
            </w:r>
            <w:r>
              <w:rPr>
                <w:rFonts w:ascii="Calibri" w:eastAsia="Times New Roman" w:hAnsi="Calibri" w:cs="Calibri"/>
                <w:b/>
                <w:color w:val="000000"/>
                <w:sz w:val="22"/>
                <w:szCs w:val="22"/>
              </w:rPr>
              <w:t xml:space="preserve"> M</w:t>
            </w:r>
          </w:p>
          <w:p w:rsidR="00657426" w:rsidRPr="006038A4"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0.95</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Pr="00F877F9" w:rsidRDefault="00657426" w:rsidP="00986537">
            <w:pPr>
              <w:spacing w:line="480" w:lineRule="auto"/>
              <w:cnfStyle w:val="0000001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0.47</w:t>
            </w:r>
          </w:p>
        </w:tc>
      </w:tr>
      <w:tr w:rsidR="00657426" w:rsidRPr="00CC16D3">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Tree</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39</w:t>
            </w:r>
          </w:p>
        </w:tc>
        <w:tc>
          <w:tcPr>
            <w:tcW w:w="146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0.55</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0.31</w:t>
            </w: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0.55</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Pr="004C5F27"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0.029</w:t>
            </w:r>
            <w:r>
              <w:rPr>
                <w:rFonts w:ascii="Calibri" w:eastAsia="Times New Roman" w:hAnsi="Calibri" w:cs="Calibri"/>
                <w:b/>
                <w:color w:val="000000"/>
                <w:sz w:val="22"/>
                <w:szCs w:val="22"/>
              </w:rPr>
              <w:t xml:space="preserve"> M</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0.36</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0.8</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0.29</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sidRPr="004C5F27">
              <w:rPr>
                <w:rFonts w:ascii="Calibri" w:eastAsia="Times New Roman" w:hAnsi="Calibri" w:cs="Calibri"/>
                <w:b/>
                <w:color w:val="000000"/>
                <w:sz w:val="22"/>
                <w:szCs w:val="22"/>
              </w:rPr>
              <w:t>0.01</w:t>
            </w:r>
            <w:r>
              <w:rPr>
                <w:rFonts w:ascii="Calibri" w:eastAsia="Times New Roman" w:hAnsi="Calibri" w:cs="Calibri"/>
                <w:b/>
                <w:color w:val="000000"/>
                <w:sz w:val="22"/>
                <w:szCs w:val="22"/>
              </w:rPr>
              <w:t xml:space="preserve"> M</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Pr="00FD6AA1"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0.002</w:t>
            </w:r>
            <w:r>
              <w:rPr>
                <w:rFonts w:ascii="Calibri" w:eastAsia="Times New Roman" w:hAnsi="Calibri" w:cs="Calibri"/>
                <w:b/>
                <w:color w:val="000000"/>
                <w:sz w:val="22"/>
                <w:szCs w:val="22"/>
              </w:rPr>
              <w:t xml:space="preserve"> M</w:t>
            </w:r>
          </w:p>
        </w:tc>
      </w:tr>
      <w:tr w:rsidR="00657426" w:rsidRPr="00CC16D3">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Sea Creature</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30</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0.53</w:t>
            </w:r>
          </w:p>
        </w:tc>
        <w:tc>
          <w:tcPr>
            <w:tcW w:w="1526" w:type="dxa"/>
          </w:tcPr>
          <w:p w:rsidR="00657426"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&lt;0.001 L</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Pr="006038A4" w:rsidRDefault="00657426" w:rsidP="00986537">
            <w:pPr>
              <w:spacing w:line="480" w:lineRule="auto"/>
              <w:cnfStyle w:val="0000001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0.03</w:t>
            </w:r>
            <w:r>
              <w:rPr>
                <w:rFonts w:ascii="Calibri" w:eastAsia="Times New Roman" w:hAnsi="Calibri" w:cs="Calibri"/>
                <w:b/>
                <w:color w:val="000000"/>
                <w:sz w:val="22"/>
                <w:szCs w:val="22"/>
              </w:rPr>
              <w:t xml:space="preserve"> L</w:t>
            </w:r>
          </w:p>
        </w:tc>
        <w:tc>
          <w:tcPr>
            <w:tcW w:w="1620" w:type="dxa"/>
          </w:tcPr>
          <w:p w:rsidR="00657426"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0.004 M</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w:t>
            </w:r>
          </w:p>
          <w:p w:rsidR="00657426" w:rsidRPr="004C5F27"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0.09</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0.17</w:t>
            </w:r>
          </w:p>
          <w:p w:rsidR="00657426"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&lt;0.001 L</w:t>
            </w:r>
          </w:p>
          <w:p w:rsidR="00657426" w:rsidRPr="00EF12CA"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0.8</w:t>
            </w:r>
          </w:p>
        </w:tc>
      </w:tr>
      <w:tr w:rsidR="00657426">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Insect</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63</w:t>
            </w:r>
          </w:p>
        </w:tc>
        <w:tc>
          <w:tcPr>
            <w:tcW w:w="1460" w:type="dxa"/>
          </w:tcPr>
          <w:p w:rsidR="00657426" w:rsidRPr="004C5F27"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&lt;0.001 L</w:t>
            </w:r>
          </w:p>
          <w:p w:rsidR="00657426"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0.002</w:t>
            </w:r>
          </w:p>
          <w:p w:rsidR="00657426" w:rsidRPr="004C5F27"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&lt; 0.001 L</w:t>
            </w: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0.31</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1620" w:type="dxa"/>
          </w:tcPr>
          <w:p w:rsidR="00657426" w:rsidRPr="004C5F27"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0.001 M</w:t>
            </w:r>
          </w:p>
          <w:p w:rsidR="00657426"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0.006</w:t>
            </w:r>
          </w:p>
          <w:p w:rsidR="00657426" w:rsidRPr="004C5F27"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0.001</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0.29</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0.8</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0.35</w:t>
            </w: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Small</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144</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0.8</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0.01</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0.09</w:t>
            </w:r>
          </w:p>
          <w:p w:rsidR="00657426" w:rsidRDefault="00657426" w:rsidP="00986537">
            <w:pPr>
              <w:spacing w:line="480" w:lineRule="auto"/>
              <w:cnfStyle w:val="0000001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0.03</w:t>
            </w:r>
            <w:r>
              <w:rPr>
                <w:rFonts w:ascii="Calibri" w:eastAsia="Times New Roman" w:hAnsi="Calibri" w:cs="Calibri"/>
                <w:b/>
                <w:color w:val="000000"/>
                <w:sz w:val="22"/>
                <w:szCs w:val="22"/>
              </w:rPr>
              <w:t xml:space="preserve"> M</w:t>
            </w:r>
          </w:p>
          <w:p w:rsidR="00657426" w:rsidRPr="006038A4" w:rsidRDefault="00657426" w:rsidP="00986537">
            <w:pPr>
              <w:spacing w:line="480" w:lineRule="auto"/>
              <w:cnfStyle w:val="0000001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0.07</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0.06</w:t>
            </w:r>
          </w:p>
        </w:tc>
      </w:tr>
      <w:tr w:rsidR="00657426" w:rsidTr="00367B50">
        <w:tc>
          <w:tcPr>
            <w:cnfStyle w:val="001000000000"/>
            <w:tcW w:w="1531" w:type="dxa"/>
            <w:tcBorders>
              <w:bottom w:val="nil"/>
            </w:tcBorders>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Large</w:t>
            </w:r>
          </w:p>
        </w:tc>
        <w:tc>
          <w:tcPr>
            <w:tcW w:w="960" w:type="dxa"/>
            <w:tcBorders>
              <w:bottom w:val="nil"/>
            </w:tcBorders>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64</w:t>
            </w:r>
          </w:p>
        </w:tc>
        <w:tc>
          <w:tcPr>
            <w:tcW w:w="1460" w:type="dxa"/>
            <w:tcBorders>
              <w:bottom w:val="nil"/>
            </w:tcBorders>
          </w:tcPr>
          <w:p w:rsidR="00657426" w:rsidRPr="00487ACE"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0.03 M</w:t>
            </w:r>
          </w:p>
        </w:tc>
        <w:tc>
          <w:tcPr>
            <w:tcW w:w="1526" w:type="dxa"/>
            <w:tcBorders>
              <w:bottom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0.39</w:t>
            </w:r>
          </w:p>
        </w:tc>
        <w:tc>
          <w:tcPr>
            <w:tcW w:w="1620" w:type="dxa"/>
            <w:tcBorders>
              <w:bottom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0.51</w:t>
            </w:r>
          </w:p>
        </w:tc>
        <w:tc>
          <w:tcPr>
            <w:tcW w:w="1620" w:type="dxa"/>
            <w:tcBorders>
              <w:bottom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0.07</w:t>
            </w:r>
          </w:p>
        </w:tc>
      </w:tr>
      <w:tr w:rsidR="00657426" w:rsidTr="00367B50">
        <w:trPr>
          <w:cnfStyle w:val="000000100000"/>
        </w:trPr>
        <w:tc>
          <w:tcPr>
            <w:cnfStyle w:val="001000000000"/>
            <w:tcW w:w="1531" w:type="dxa"/>
            <w:tcBorders>
              <w:top w:val="nil"/>
              <w:bottom w:val="nil"/>
            </w:tcBorders>
            <w:shd w:val="clear" w:color="auto" w:fill="auto"/>
            <w:noWrap/>
          </w:tcPr>
          <w:p w:rsidR="00657426" w:rsidRPr="00BD58CD" w:rsidRDefault="00657426" w:rsidP="00986537">
            <w:pPr>
              <w:spacing w:line="480" w:lineRule="auto"/>
              <w:rPr>
                <w:rFonts w:ascii="Calibri" w:eastAsia="Times New Roman" w:hAnsi="Calibri" w:cs="Calibri"/>
                <w:color w:val="000000" w:themeColor="text1"/>
                <w:sz w:val="22"/>
                <w:szCs w:val="22"/>
              </w:rPr>
            </w:pPr>
          </w:p>
        </w:tc>
        <w:tc>
          <w:tcPr>
            <w:tcW w:w="960" w:type="dxa"/>
            <w:tcBorders>
              <w:top w:val="nil"/>
              <w:bottom w:val="nil"/>
            </w:tcBorders>
            <w:shd w:val="clear" w:color="auto" w:fill="auto"/>
            <w:noWrap/>
          </w:tcPr>
          <w:p w:rsidR="00657426" w:rsidRDefault="00657426" w:rsidP="00986537">
            <w:pPr>
              <w:spacing w:line="480" w:lineRule="auto"/>
              <w:jc w:val="right"/>
              <w:cnfStyle w:val="000000100000"/>
              <w:rPr>
                <w:rFonts w:ascii="Calibri" w:eastAsia="Times New Roman" w:hAnsi="Calibri" w:cs="Calibri"/>
                <w:color w:val="000000"/>
                <w:sz w:val="22"/>
                <w:szCs w:val="22"/>
              </w:rPr>
            </w:pPr>
          </w:p>
        </w:tc>
        <w:tc>
          <w:tcPr>
            <w:tcW w:w="1460" w:type="dxa"/>
            <w:tcBorders>
              <w:top w:val="nil"/>
              <w:bottom w:val="nil"/>
            </w:tcBorders>
            <w:shd w:val="clear" w:color="auto" w:fill="auto"/>
          </w:tcPr>
          <w:p w:rsidR="00657426" w:rsidRPr="004C5F27" w:rsidRDefault="00657426" w:rsidP="00986537">
            <w:pPr>
              <w:spacing w:line="480" w:lineRule="auto"/>
              <w:cnfStyle w:val="0000001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0.5</w:t>
            </w:r>
          </w:p>
        </w:tc>
        <w:tc>
          <w:tcPr>
            <w:tcW w:w="1526" w:type="dxa"/>
            <w:tcBorders>
              <w:top w:val="nil"/>
              <w:bottom w:val="nil"/>
            </w:tcBorders>
            <w:shd w:val="clear" w:color="auto" w:fill="auto"/>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tc>
        <w:tc>
          <w:tcPr>
            <w:tcW w:w="1620" w:type="dxa"/>
            <w:tcBorders>
              <w:top w:val="nil"/>
              <w:bottom w:val="nil"/>
            </w:tcBorders>
            <w:shd w:val="clear" w:color="auto" w:fill="auto"/>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0.19</w:t>
            </w:r>
          </w:p>
        </w:tc>
        <w:tc>
          <w:tcPr>
            <w:tcW w:w="1620" w:type="dxa"/>
            <w:tcBorders>
              <w:top w:val="nil"/>
              <w:bottom w:val="nil"/>
            </w:tcBorders>
            <w:shd w:val="clear" w:color="auto" w:fill="auto"/>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w:t>
            </w:r>
          </w:p>
        </w:tc>
      </w:tr>
      <w:tr w:rsidR="00657426" w:rsidTr="00367B50">
        <w:tc>
          <w:tcPr>
            <w:cnfStyle w:val="001000000000"/>
            <w:tcW w:w="1531" w:type="dxa"/>
            <w:tcBorders>
              <w:top w:val="nil"/>
            </w:tcBorders>
            <w:noWrap/>
          </w:tcPr>
          <w:p w:rsidR="00657426" w:rsidRPr="00BD58CD" w:rsidRDefault="00657426" w:rsidP="00986537">
            <w:pPr>
              <w:spacing w:line="480" w:lineRule="auto"/>
              <w:rPr>
                <w:rFonts w:ascii="Calibri" w:eastAsia="Times New Roman" w:hAnsi="Calibri" w:cs="Calibri"/>
                <w:color w:val="000000" w:themeColor="text1"/>
                <w:sz w:val="22"/>
                <w:szCs w:val="22"/>
              </w:rPr>
            </w:pPr>
          </w:p>
        </w:tc>
        <w:tc>
          <w:tcPr>
            <w:tcW w:w="960" w:type="dxa"/>
            <w:tcBorders>
              <w:top w:val="nil"/>
            </w:tcBorders>
            <w:noWrap/>
          </w:tcPr>
          <w:p w:rsidR="00657426" w:rsidRDefault="00657426" w:rsidP="00986537">
            <w:pPr>
              <w:spacing w:line="480" w:lineRule="auto"/>
              <w:jc w:val="right"/>
              <w:cnfStyle w:val="000000000000"/>
              <w:rPr>
                <w:rFonts w:ascii="Calibri" w:eastAsia="Times New Roman" w:hAnsi="Calibri" w:cs="Calibri"/>
                <w:color w:val="000000"/>
                <w:sz w:val="22"/>
                <w:szCs w:val="22"/>
              </w:rPr>
            </w:pPr>
          </w:p>
        </w:tc>
        <w:tc>
          <w:tcPr>
            <w:tcW w:w="1460" w:type="dxa"/>
            <w:tcBorders>
              <w:top w:val="nil"/>
            </w:tcBorders>
          </w:tcPr>
          <w:p w:rsidR="00657426" w:rsidRPr="004C5F27"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0.03</w:t>
            </w:r>
            <w:r>
              <w:rPr>
                <w:rFonts w:ascii="Calibri" w:eastAsia="Times New Roman" w:hAnsi="Calibri" w:cs="Calibri"/>
                <w:b/>
                <w:color w:val="000000"/>
                <w:sz w:val="22"/>
                <w:szCs w:val="22"/>
              </w:rPr>
              <w:t xml:space="preserve"> M</w:t>
            </w:r>
          </w:p>
        </w:tc>
        <w:tc>
          <w:tcPr>
            <w:tcW w:w="1526" w:type="dxa"/>
            <w:tcBorders>
              <w:top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w:t>
            </w:r>
          </w:p>
        </w:tc>
        <w:tc>
          <w:tcPr>
            <w:tcW w:w="1620" w:type="dxa"/>
            <w:tcBorders>
              <w:top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0.16</w:t>
            </w:r>
          </w:p>
        </w:tc>
        <w:tc>
          <w:tcPr>
            <w:tcW w:w="1620" w:type="dxa"/>
            <w:tcBorders>
              <w:top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w:t>
            </w:r>
          </w:p>
        </w:tc>
      </w:tr>
    </w:tbl>
    <w:p w:rsidR="00657426" w:rsidRDefault="00657426" w:rsidP="00986537">
      <w:pPr>
        <w:spacing w:line="480" w:lineRule="auto"/>
      </w:pPr>
    </w:p>
    <w:p w:rsidR="00657426" w:rsidRDefault="00657426" w:rsidP="00986537">
      <w:pPr>
        <w:spacing w:line="480" w:lineRule="auto"/>
      </w:pPr>
      <w:r>
        <w:t xml:space="preserve">A few tendencies were noted with respect to the size of items: small animals were more likely to be unique among agriculturalists, while large animals (relative to each category of birds, mammals, reptiles, etc.) were more likely to be loaned both overall and among hunter-gatherers (though the effect was not found for agriculturalists). This result contradicts that discussed by </w:t>
      </w:r>
      <w:proofErr w:type="spellStart"/>
      <w:r>
        <w:t>Ehret</w:t>
      </w:r>
      <w:proofErr w:type="spellEnd"/>
      <w:r>
        <w:t xml:space="preserve"> </w:t>
      </w:r>
      <w:r>
        <w:rPr>
          <w:noProof/>
        </w:rPr>
        <w:t>(2011:90)</w:t>
      </w:r>
      <w:r>
        <w:t xml:space="preserve">, who finds for Africa that terms for large wild </w:t>
      </w:r>
      <w:r>
        <w:lastRenderedPageBreak/>
        <w:t xml:space="preserve">animals tend to be resistant to borrowing. </w:t>
      </w:r>
      <w:proofErr w:type="spellStart"/>
      <w:r>
        <w:t>Ehret</w:t>
      </w:r>
      <w:proofErr w:type="spellEnd"/>
      <w:r>
        <w:t xml:space="preserve"> provides no quantitative evidence for his claim, however.</w:t>
      </w:r>
    </w:p>
    <w:p w:rsidR="00657426" w:rsidRDefault="00657426" w:rsidP="00986537">
      <w:pPr>
        <w:pStyle w:val="Heading3"/>
        <w:suppressAutoHyphens w:val="0"/>
        <w:autoSpaceDE w:val="0"/>
        <w:adjustRightInd w:val="0"/>
        <w:spacing w:line="480" w:lineRule="auto"/>
        <w:ind w:left="720" w:hanging="720"/>
        <w:textAlignment w:val="auto"/>
      </w:pPr>
      <w:r>
        <w:t>Hunter-gatherers only</w:t>
      </w:r>
    </w:p>
    <w:p w:rsidR="00657426" w:rsidRDefault="00657426" w:rsidP="00986537">
      <w:pPr>
        <w:spacing w:line="480" w:lineRule="auto"/>
      </w:pPr>
      <w:r>
        <w:t xml:space="preserve">When considering just the data from languages spoken by hunter-gatherers in the sample, trends tend to mirror those of the overall sample. Psychotropic substances, for example, show the same degrees of loan likelihood as in the general sample, and several patterns that were at marginal significance in the general sample are statistically significant in the hunter-gatherer sample; the loan status of mythological items and the inheritance likelihoods for generic life-form terms are two examples. Semantic shift tendencies for dangerous items are also constant between the two samples. There are, however, exceptions to the overall correlations between the samples. Traded items are less likely to be unique (p &lt; 0.05) in the hunter-gatherer sample, while no effect was seen in the combined sample. Since our nomenclature list is fairly short, this may reflect the relative importance of items on the list to hunter-gatherers. Mythological or ritually significant terms showed significant inheritance levels in the hunter-gatherer sample, but not the general sample, when not controlling for area. In the hunter-gatherer sample, mythological terms were both more likely to be loaned and more likely to be inherited (the flip-side of being less likely to be unique; items in this category fall more clearly into the two classes; some loaned, some inherited), than other items in the sample. These patterns are best explained in light of the notion of cultural salience discussed above: the importance of mythological terms for a given group over time is likely to promote their retention within that group’s language on the one hand, and their transmission between groups (and languages) in contact situations on the other.  </w:t>
      </w:r>
    </w:p>
    <w:p w:rsidR="00657426" w:rsidRPr="009C2B1E" w:rsidRDefault="00657426" w:rsidP="00986537">
      <w:pPr>
        <w:pStyle w:val="Heading3"/>
        <w:suppressAutoHyphens w:val="0"/>
        <w:autoSpaceDE w:val="0"/>
        <w:adjustRightInd w:val="0"/>
        <w:spacing w:line="480" w:lineRule="auto"/>
        <w:ind w:left="720" w:hanging="720"/>
        <w:textAlignment w:val="auto"/>
      </w:pPr>
      <w:r>
        <w:lastRenderedPageBreak/>
        <w:t>Case study area comments</w:t>
      </w:r>
    </w:p>
    <w:p w:rsidR="00657426" w:rsidRDefault="00657426" w:rsidP="00986537">
      <w:pPr>
        <w:spacing w:line="480" w:lineRule="auto"/>
      </w:pPr>
      <w:r>
        <w:t>Since the number of languages in each area is quite small, statistical tests that compare data subsets lack power. However, we can offer qualitative comments on the case study areas.</w:t>
      </w:r>
      <w:r w:rsidRPr="005D64C6">
        <w:tab/>
        <w:t>In the North American sample, data quality is elevated by triangulating between modern dictionaries, with high-quality phonological representations but often with very general definitions (</w:t>
      </w:r>
      <w:r w:rsidRPr="00311104">
        <w:t xml:space="preserve">for instance, </w:t>
      </w:r>
      <w:r>
        <w:t>“</w:t>
      </w:r>
      <w:r w:rsidRPr="00311104">
        <w:t>kind of bird</w:t>
      </w:r>
      <w:r>
        <w:t>”</w:t>
      </w:r>
      <w:r w:rsidRPr="00311104">
        <w:t>), and the availability of extensive word lists for flora and fauna collected in the early part of the 20th century by the distinguished zoologist C. H. Mer</w:t>
      </w:r>
      <w:r w:rsidRPr="00661EE8">
        <w:t>riam</w:t>
      </w:r>
      <w:r>
        <w:rPr>
          <w:rStyle w:val="EndnoteReference"/>
        </w:rPr>
        <w:endnoteReference w:id="15"/>
      </w:r>
      <w:r w:rsidRPr="005D64C6">
        <w:t>, who recorded data in an eccentric English-based orthography, but provided species (and sometimes even varietal) identifications that in most cases are highly accurate and specific.</w:t>
      </w:r>
      <w:r w:rsidRPr="00311104">
        <w:t xml:space="preserve"> From notes in Merriam</w:t>
      </w:r>
      <w:r>
        <w:t>’</w:t>
      </w:r>
      <w:r w:rsidRPr="00311104">
        <w:t xml:space="preserve">s lists that occasionally indicate </w:t>
      </w:r>
      <w:r>
        <w:t>“</w:t>
      </w:r>
      <w:r w:rsidRPr="00311104">
        <w:t>not shown</w:t>
      </w:r>
      <w:r>
        <w:t>”</w:t>
      </w:r>
      <w:r w:rsidRPr="00311104">
        <w:t xml:space="preserve">, one can infer that he was showing informants examples, perhaps taxidermic specimens or preserved skins, and dried herbarium specimens for plants. </w:t>
      </w:r>
      <w:r w:rsidRPr="00661EE8">
        <w:t xml:space="preserve">For the important </w:t>
      </w:r>
      <w:proofErr w:type="spellStart"/>
      <w:r w:rsidRPr="00661EE8">
        <w:t>Chumashan</w:t>
      </w:r>
      <w:proofErr w:type="spellEnd"/>
      <w:r w:rsidRPr="00661EE8">
        <w:t xml:space="preserve"> group of languages, </w:t>
      </w:r>
      <w:proofErr w:type="spellStart"/>
      <w:r w:rsidRPr="00661EE8">
        <w:t>Timbrook</w:t>
      </w:r>
      <w:proofErr w:type="spellEnd"/>
      <w:r w:rsidRPr="00661EE8">
        <w:t xml:space="preserve"> </w:t>
      </w:r>
      <w:r>
        <w:rPr>
          <w:noProof/>
        </w:rPr>
        <w:t>(2007)</w:t>
      </w:r>
      <w:r w:rsidRPr="005D64C6">
        <w:t xml:space="preserve"> was able to recover plant names and good identifications from the </w:t>
      </w:r>
      <w:proofErr w:type="spellStart"/>
      <w:r w:rsidRPr="005D64C6">
        <w:t>fieldnotes</w:t>
      </w:r>
      <w:proofErr w:type="spellEnd"/>
      <w:r w:rsidRPr="005D64C6">
        <w:t xml:space="preserve"> of John P. Harrington. However, data quality varies among the languages, and in some cases many terms are missing. </w:t>
      </w:r>
    </w:p>
    <w:p w:rsidR="00657426" w:rsidRDefault="00657426" w:rsidP="00986537">
      <w:pPr>
        <w:spacing w:line="480" w:lineRule="auto"/>
        <w:ind w:firstLine="720"/>
      </w:pPr>
      <w:r>
        <w:t xml:space="preserve">Within the South American sample, the relatively low flora-fauna loan rates are consistent with the general paucity of loanwords observed in these languages, as noted above. Also in keeping with cross-regional trends noted here, South American hunter-gatherer languages tend to higher flora-fauna loan rates, although agriculturalist and hunter-gatherer languages occur at both ends of the loan-rate spectrum. In comparison to the South American sample as a whole, the Tukanoan, Arawak, and Nadahup languages of the Vaupés region exhibit relatively low loan rates, in keeping with local practices disfavoring language mixing among agriculturalists and hunter-gatherers alike (see Epps </w:t>
      </w:r>
      <w:r>
        <w:lastRenderedPageBreak/>
        <w:t xml:space="preserve">2009 and above); however, the rates in the hunter-gatherer languages </w:t>
      </w:r>
      <w:proofErr w:type="spellStart"/>
      <w:r>
        <w:t>Kakua</w:t>
      </w:r>
      <w:proofErr w:type="spellEnd"/>
      <w:r>
        <w:t xml:space="preserve"> and </w:t>
      </w:r>
      <w:proofErr w:type="spellStart"/>
      <w:r>
        <w:t>Nukak</w:t>
      </w:r>
      <w:proofErr w:type="spellEnd"/>
      <w:r>
        <w:t xml:space="preserve"> are surprisingly high, perhaps indicating a somewhat weaker integration into Vaupés sociolinguistic practices.</w:t>
      </w:r>
      <w:r>
        <w:rPr>
          <w:rStyle w:val="EndnoteReference"/>
        </w:rPr>
        <w:endnoteReference w:id="16"/>
      </w:r>
      <w:r>
        <w:t xml:space="preserve"> The languages exhibiting the highest numbers of flora-fauna loans include several hunter-gatherer languages: </w:t>
      </w:r>
      <w:proofErr w:type="spellStart"/>
      <w:r>
        <w:t>Hodï</w:t>
      </w:r>
      <w:proofErr w:type="spellEnd"/>
      <w:r>
        <w:t xml:space="preserve"> (isolate) and </w:t>
      </w:r>
      <w:proofErr w:type="spellStart"/>
      <w:r>
        <w:t>Sikuani</w:t>
      </w:r>
      <w:proofErr w:type="spellEnd"/>
      <w:r>
        <w:t xml:space="preserve"> (</w:t>
      </w:r>
      <w:proofErr w:type="spellStart"/>
      <w:r>
        <w:t>Guahiban</w:t>
      </w:r>
      <w:proofErr w:type="spellEnd"/>
      <w:r>
        <w:t xml:space="preserve">) top the list, with significant numbers of loans (about 14%), predominantly from </w:t>
      </w:r>
      <w:proofErr w:type="spellStart"/>
      <w:r>
        <w:t>Carib</w:t>
      </w:r>
      <w:proofErr w:type="spellEnd"/>
      <w:r>
        <w:t xml:space="preserve"> and </w:t>
      </w:r>
      <w:proofErr w:type="spellStart"/>
      <w:r>
        <w:t>Arawak</w:t>
      </w:r>
      <w:proofErr w:type="spellEnd"/>
      <w:r w:rsidR="00FC305C">
        <w:t xml:space="preserve"> languages, respectively. </w:t>
      </w:r>
      <w:proofErr w:type="spellStart"/>
      <w:r w:rsidR="00FC305C">
        <w:t>Nadëb</w:t>
      </w:r>
      <w:proofErr w:type="spellEnd"/>
      <w:r w:rsidR="00FC305C">
        <w:t xml:space="preserve"> and</w:t>
      </w:r>
      <w:r>
        <w:t xml:space="preserve"> </w:t>
      </w:r>
      <w:proofErr w:type="spellStart"/>
      <w:r>
        <w:t>Dâw</w:t>
      </w:r>
      <w:proofErr w:type="spellEnd"/>
      <w:r>
        <w:t xml:space="preserve"> – both Nadahup languages spoken outside the Vaupés – also show relatively high loan rates, mostly from Arawak. It is noteworthy that lexical borrowing in the South American hunter-gatherer languages is predominantly one-way, with agriculturalist languages as donors. Partial exceptions to this generalization are </w:t>
      </w:r>
      <w:proofErr w:type="spellStart"/>
      <w:r>
        <w:t>Sikuani</w:t>
      </w:r>
      <w:proofErr w:type="spellEnd"/>
      <w:r>
        <w:t xml:space="preserve"> and </w:t>
      </w:r>
      <w:proofErr w:type="spellStart"/>
      <w:r>
        <w:t>Piapoco</w:t>
      </w:r>
      <w:proofErr w:type="spellEnd"/>
      <w:r>
        <w:t xml:space="preserve"> (</w:t>
      </w:r>
      <w:proofErr w:type="spellStart"/>
      <w:r>
        <w:t>Arawak</w:t>
      </w:r>
      <w:proofErr w:type="spellEnd"/>
      <w:r>
        <w:t xml:space="preserve">), where loanword exchange has gone in both directions (though loans into hunter-gatherer </w:t>
      </w:r>
      <w:proofErr w:type="spellStart"/>
      <w:r>
        <w:t>Sikuani</w:t>
      </w:r>
      <w:proofErr w:type="spellEnd"/>
      <w:r>
        <w:t xml:space="preserve"> still outnumber those going the other way), and </w:t>
      </w:r>
      <w:proofErr w:type="spellStart"/>
      <w:r>
        <w:t>Kakua</w:t>
      </w:r>
      <w:proofErr w:type="spellEnd"/>
      <w:r>
        <w:t xml:space="preserve">, which has apparently absorbed some loans from Hup, another hunter-gatherer language. The agriculturalist languages with the largest numbers of attested flora-fauna loans (close to 11%) are </w:t>
      </w:r>
      <w:proofErr w:type="spellStart"/>
      <w:r>
        <w:t>Cubeo</w:t>
      </w:r>
      <w:proofErr w:type="spellEnd"/>
      <w:r>
        <w:t xml:space="preserve"> (East </w:t>
      </w:r>
      <w:proofErr w:type="spellStart"/>
      <w:r>
        <w:t>Tukanoan</w:t>
      </w:r>
      <w:proofErr w:type="spellEnd"/>
      <w:r>
        <w:t xml:space="preserve">) and </w:t>
      </w:r>
      <w:proofErr w:type="spellStart"/>
      <w:r>
        <w:t>Resígaro</w:t>
      </w:r>
      <w:proofErr w:type="spellEnd"/>
      <w:r>
        <w:t xml:space="preserve"> (</w:t>
      </w:r>
      <w:proofErr w:type="spellStart"/>
      <w:r>
        <w:t>Arawak</w:t>
      </w:r>
      <w:proofErr w:type="spellEnd"/>
      <w:r>
        <w:t xml:space="preserve">), both known to have extensive interaction with Arawak and Bora speakers, respectively </w:t>
      </w:r>
      <w:r>
        <w:rPr>
          <w:noProof/>
        </w:rPr>
        <w:t>(see, e.g., Chacon Forthcoming; Seifart 2011)</w:t>
      </w:r>
      <w:r>
        <w:t>.</w:t>
      </w:r>
    </w:p>
    <w:p w:rsidR="00657426" w:rsidRPr="00F3050D" w:rsidRDefault="00657426" w:rsidP="00986537">
      <w:pPr>
        <w:spacing w:line="480" w:lineRule="auto"/>
        <w:ind w:firstLine="720"/>
      </w:pPr>
      <w:r>
        <w:t xml:space="preserve">The Australian case study area has a sizable number of words for which there is reason to suspect loanhood but where the direction is unknown. There are 225 such loans in the sample, compared with 453 likely loans and 46 doubtful loans. The direction of borrowing cannot be identified because of the absence of diagnostic sound change or morphology which would provide a clue to the donor language. 18 of the words in the Yawuru (Nyulnyulan) list, for example, are shared with either Mangala or Karajarri, neighboring Pama-Nyungan languages. In the Yawuru case, some of the words show </w:t>
      </w:r>
      <w:r>
        <w:lastRenderedPageBreak/>
        <w:t xml:space="preserve">reduplication (cf. </w:t>
      </w:r>
      <w:proofErr w:type="spellStart"/>
      <w:r w:rsidRPr="00FC305C">
        <w:rPr>
          <w:b/>
          <w:i/>
        </w:rPr>
        <w:t>rurdururdu</w:t>
      </w:r>
      <w:proofErr w:type="spellEnd"/>
      <w:r>
        <w:t xml:space="preserve"> ‘hornet’, </w:t>
      </w:r>
      <w:proofErr w:type="spellStart"/>
      <w:r w:rsidRPr="00FC305C">
        <w:rPr>
          <w:b/>
          <w:i/>
        </w:rPr>
        <w:t>yinyjiyinyji</w:t>
      </w:r>
      <w:proofErr w:type="spellEnd"/>
      <w:r>
        <w:t xml:space="preserve"> ‘</w:t>
      </w:r>
      <w:proofErr w:type="spellStart"/>
      <w:r>
        <w:t>preying</w:t>
      </w:r>
      <w:proofErr w:type="spellEnd"/>
      <w:r>
        <w:t xml:space="preserve"> mantis’). Reduplication is not a common pattern in inherited flora/fauna vocabulary in Nyulnyulan languages, but it is more common in Marrngu languages. This may provide a clue to the direction of borrowing. Where loan direction can be identified, however, the exchange goes in both directions (at least for the Nyulnyulan/Pama-Nyungan border languages).</w:t>
      </w:r>
    </w:p>
    <w:p w:rsidR="00657426" w:rsidRDefault="00657426" w:rsidP="00986537">
      <w:pPr>
        <w:pStyle w:val="Heading2"/>
        <w:suppressAutoHyphens w:val="0"/>
        <w:autoSpaceDE w:val="0"/>
        <w:adjustRightInd w:val="0"/>
        <w:spacing w:line="480" w:lineRule="auto"/>
        <w:ind w:left="576" w:hanging="576"/>
        <w:textAlignment w:val="auto"/>
      </w:pPr>
      <w:r>
        <w:t>Status of life-form terms and polysemy</w:t>
      </w:r>
    </w:p>
    <w:p w:rsidR="00657426" w:rsidRPr="00DA489F" w:rsidRDefault="00657426" w:rsidP="00986537">
      <w:pPr>
        <w:spacing w:line="480" w:lineRule="auto"/>
        <w:rPr>
          <w:i/>
        </w:rPr>
      </w:pPr>
      <w:r>
        <w:t xml:space="preserve">The survey set contained a number of terms that refer to ranks higher than the species or folk generic level, either life-form or unique beginner terms. There were some difficulties in inferring the true status of these words in our lexical data. In some languages, it was unclear whether the word was truly a life-form term, or simply the term for the most common species or genus in the area. In some languages there is genuine polysemy here. For example, </w:t>
      </w:r>
      <w:proofErr w:type="spellStart"/>
      <w:r>
        <w:t>Bardi</w:t>
      </w:r>
      <w:proofErr w:type="spellEnd"/>
      <w:r>
        <w:t xml:space="preserve"> </w:t>
      </w:r>
      <w:proofErr w:type="spellStart"/>
      <w:r w:rsidRPr="00657426">
        <w:rPr>
          <w:b/>
          <w:i/>
        </w:rPr>
        <w:t>garrjarl</w:t>
      </w:r>
      <w:proofErr w:type="spellEnd"/>
      <w:r>
        <w:rPr>
          <w:i/>
        </w:rPr>
        <w:t xml:space="preserve"> </w:t>
      </w:r>
      <w:r>
        <w:t xml:space="preserve">refers to both the life-form ‘frog’ and specifically the green tree frog, </w:t>
      </w:r>
      <w:proofErr w:type="spellStart"/>
      <w:r>
        <w:rPr>
          <w:i/>
        </w:rPr>
        <w:t>Litoria</w:t>
      </w:r>
      <w:proofErr w:type="spellEnd"/>
      <w:r>
        <w:rPr>
          <w:i/>
        </w:rPr>
        <w:t xml:space="preserve"> </w:t>
      </w:r>
      <w:proofErr w:type="spellStart"/>
      <w:r>
        <w:rPr>
          <w:i/>
        </w:rPr>
        <w:t>caerulea</w:t>
      </w:r>
      <w:proofErr w:type="spellEnd"/>
      <w:r>
        <w:t xml:space="preserve"> </w:t>
      </w:r>
      <w:r>
        <w:rPr>
          <w:noProof/>
        </w:rPr>
        <w:t>(Bowern 2012)</w:t>
      </w:r>
      <w:r>
        <w:t xml:space="preserve">. In several of the North American languages, the word for “rattlesnake” (species other than the sidewinder) is also a generic word for “snake”. In other cases, the sources are unlikely to be fully accurate. Furthermore, we are often unable to distinguish languages that genuinely lack life-form or unique beginner terms from those where such terms were simply not recorded. In the </w:t>
      </w:r>
      <w:proofErr w:type="spellStart"/>
      <w:r>
        <w:t>Dhay’yi</w:t>
      </w:r>
      <w:proofErr w:type="spellEnd"/>
      <w:r>
        <w:t xml:space="preserve"> (</w:t>
      </w:r>
      <w:proofErr w:type="spellStart"/>
      <w:r>
        <w:t>Yolŋu</w:t>
      </w:r>
      <w:proofErr w:type="spellEnd"/>
      <w:r>
        <w:t xml:space="preserve">, Australia) list, for example, words for ‘tree’, ‘snake’, ‘ant’ and ‘kangaroo’. The presence of such terms in closely related Yolŋu varieties, however, makes the absence of the </w:t>
      </w:r>
      <w:proofErr w:type="spellStart"/>
      <w:r>
        <w:t>Dhay’yi</w:t>
      </w:r>
      <w:proofErr w:type="spellEnd"/>
      <w:r>
        <w:t xml:space="preserve"> words most likely due to recording gaps rather than absence from the </w:t>
      </w:r>
      <w:proofErr w:type="spellStart"/>
      <w:r>
        <w:t>Dhay’yi</w:t>
      </w:r>
      <w:proofErr w:type="spellEnd"/>
      <w:r>
        <w:t xml:space="preserve"> language. In other cases, however, we cannot be so certain. We do not therefore present quantitative results for this area. However, we note variability in the presence, absence, and substance of life-form </w:t>
      </w:r>
      <w:r>
        <w:lastRenderedPageBreak/>
        <w:t xml:space="preserve">categorizations across our study areas. In Australia, for example, ‘snake’ generics are present in the north but are missing from a number of Pama-Nyungan subgroups in the Central regions. Others have a generic that covers only poisonous snakes. Many Amazonian languages likewise make a basic distinction between poisonous and non-poisonous snakes. No South American language in our sample has an attested generic for ‘insect’, and many lack a generic term for ‘ant’; on the other hand, generic ‘fish’ and ‘bird’ terms appear to be widely attested (but we note that in two cases – the hunter-gatherer languages </w:t>
      </w:r>
      <w:proofErr w:type="spellStart"/>
      <w:r>
        <w:t>Hup</w:t>
      </w:r>
      <w:proofErr w:type="spellEnd"/>
      <w:r>
        <w:t xml:space="preserve"> and </w:t>
      </w:r>
      <w:proofErr w:type="spellStart"/>
      <w:r>
        <w:t>Ninam</w:t>
      </w:r>
      <w:proofErr w:type="spellEnd"/>
      <w:r>
        <w:t xml:space="preserve"> – ‘bird’ is a compound involving the generic ‘game animal’). In North America, a generic for ‘insect’ is attested for only 11 of 46 languages, but other probable generics from our lexical sample are widely attested. In Australia, ‘insect’ terms are rare and when they are attested, they have diverse etymologies (ranging from loans, such as </w:t>
      </w:r>
      <w:proofErr w:type="spellStart"/>
      <w:r>
        <w:t>Karajarri</w:t>
      </w:r>
      <w:proofErr w:type="spellEnd"/>
      <w:r>
        <w:t xml:space="preserve"> </w:t>
      </w:r>
      <w:proofErr w:type="spellStart"/>
      <w:r w:rsidRPr="00657426">
        <w:rPr>
          <w:b/>
          <w:i/>
        </w:rPr>
        <w:t>jurru</w:t>
      </w:r>
      <w:proofErr w:type="spellEnd"/>
      <w:r>
        <w:t xml:space="preserve"> ‘insect’ to semantic shift (e.g. </w:t>
      </w:r>
      <w:proofErr w:type="spellStart"/>
      <w:r>
        <w:t>Kurtjar</w:t>
      </w:r>
      <w:proofErr w:type="spellEnd"/>
      <w:r>
        <w:t xml:space="preserve"> </w:t>
      </w:r>
      <w:proofErr w:type="spellStart"/>
      <w:r w:rsidRPr="00657426">
        <w:rPr>
          <w:b/>
          <w:i/>
        </w:rPr>
        <w:t>eeny</w:t>
      </w:r>
      <w:proofErr w:type="spellEnd"/>
      <w:r>
        <w:t>, cognate with *</w:t>
      </w:r>
      <w:proofErr w:type="spellStart"/>
      <w:r>
        <w:t>minya</w:t>
      </w:r>
      <w:proofErr w:type="spellEnd"/>
      <w:r>
        <w:t xml:space="preserve"> ‘meat’) to unique items such as </w:t>
      </w:r>
      <w:proofErr w:type="spellStart"/>
      <w:r>
        <w:t>Gumatj</w:t>
      </w:r>
      <w:proofErr w:type="spellEnd"/>
      <w:r>
        <w:t xml:space="preserve"> </w:t>
      </w:r>
      <w:proofErr w:type="spellStart"/>
      <w:r w:rsidRPr="00657426">
        <w:rPr>
          <w:b/>
          <w:i/>
        </w:rPr>
        <w:t>wuyuwuyu</w:t>
      </w:r>
      <w:proofErr w:type="spellEnd"/>
      <w:r>
        <w:t xml:space="preserve">. The </w:t>
      </w:r>
      <w:proofErr w:type="spellStart"/>
      <w:r>
        <w:t>Nyulnyulan</w:t>
      </w:r>
      <w:proofErr w:type="spellEnd"/>
      <w:r>
        <w:t xml:space="preserve"> term </w:t>
      </w:r>
      <w:proofErr w:type="spellStart"/>
      <w:r w:rsidRPr="00657426">
        <w:rPr>
          <w:b/>
          <w:i/>
        </w:rPr>
        <w:t>juurru</w:t>
      </w:r>
      <w:proofErr w:type="spellEnd"/>
      <w:r>
        <w:t xml:space="preserve"> (from which the Karajarri term is borrowed) has different meanings in different Nyulnyulan languages. In Eastern Nyulnyulan and Nyulnyul, it covers both “biting insects”, such as mosquitoes, and larger dangerous biting creatures such as snakes and sharks. It is most commonly glossed as “critter.” In Bardi, the “critter” meaning is lost and the term is used only for snakes and sharks. Its most common meaning is “snake”, but the phrase </w:t>
      </w:r>
      <w:proofErr w:type="spellStart"/>
      <w:r w:rsidRPr="00657426">
        <w:rPr>
          <w:b/>
          <w:i/>
        </w:rPr>
        <w:t>gaarrayoon</w:t>
      </w:r>
      <w:proofErr w:type="spellEnd"/>
      <w:r w:rsidRPr="00657426">
        <w:rPr>
          <w:b/>
          <w:i/>
        </w:rPr>
        <w:t xml:space="preserve"> </w:t>
      </w:r>
      <w:proofErr w:type="spellStart"/>
      <w:r w:rsidRPr="00657426">
        <w:rPr>
          <w:b/>
          <w:i/>
        </w:rPr>
        <w:t>joorroo</w:t>
      </w:r>
      <w:proofErr w:type="spellEnd"/>
      <w:r>
        <w:rPr>
          <w:i/>
        </w:rPr>
        <w:t xml:space="preserve"> </w:t>
      </w:r>
      <w:r>
        <w:t>(literally “</w:t>
      </w:r>
      <w:proofErr w:type="spellStart"/>
      <w:r w:rsidRPr="00657426">
        <w:rPr>
          <w:b/>
          <w:i/>
        </w:rPr>
        <w:t>joorroo</w:t>
      </w:r>
      <w:proofErr w:type="spellEnd"/>
      <w:r>
        <w:rPr>
          <w:i/>
        </w:rPr>
        <w:t xml:space="preserve"> </w:t>
      </w:r>
      <w:r w:rsidRPr="00DA489F">
        <w:t>from the sea</w:t>
      </w:r>
      <w:r>
        <w:t>”) can be used if disambiguation is required.</w:t>
      </w:r>
    </w:p>
    <w:p w:rsidR="00657426" w:rsidRDefault="00657426" w:rsidP="00986537">
      <w:pPr>
        <w:spacing w:line="480" w:lineRule="auto"/>
        <w:ind w:firstLine="720"/>
      </w:pPr>
      <w:r>
        <w:t xml:space="preserve">Some life-form terms are polysemous with items that are not part of the flora/fauna domain. Fairly common in Australia, for example, is polysemy between the word for ‘bone’ and words meaning ‘shell’. The unique beginner ‘tree’ is usually also polysemous with ‘stick’ or ‘wood’.  Several of the North and South American languages also exhibit polysemous </w:t>
      </w:r>
      <w:r>
        <w:lastRenderedPageBreak/>
        <w:t>“wood-tree”, and some South American languages exhibit polysemy between ‘(tree) bark’ and ‘(human/animal) skin’.</w:t>
      </w:r>
    </w:p>
    <w:p w:rsidR="00657426" w:rsidRPr="006310C3" w:rsidRDefault="00657426" w:rsidP="00986537">
      <w:pPr>
        <w:spacing w:line="480" w:lineRule="auto"/>
      </w:pPr>
      <w:r>
        <w:tab/>
        <w:t xml:space="preserve">We also have examples of semantic shift where a generic, life-form, or unique beginner term in one language is a species level term in related languages. Central Australian </w:t>
      </w:r>
      <w:proofErr w:type="spellStart"/>
      <w:r w:rsidRPr="00657426">
        <w:rPr>
          <w:b/>
          <w:i/>
        </w:rPr>
        <w:t>kathi</w:t>
      </w:r>
      <w:proofErr w:type="spellEnd"/>
      <w:r>
        <w:t xml:space="preserve">, for example, means ‘ant’ in some languages but ‘animal’ in others. In the sample, semantic shift appears to be relatively more prevalent in the Australian case study region than either of the Americas, though this may be due to misidentification in some of the more poorly attested languages. Semantic shift is also found between species and is attested in all case study regions. For example, cognates of </w:t>
      </w:r>
      <w:proofErr w:type="spellStart"/>
      <w:r>
        <w:t>Tariana</w:t>
      </w:r>
      <w:proofErr w:type="spellEnd"/>
      <w:r>
        <w:t xml:space="preserve"> </w:t>
      </w:r>
      <w:proofErr w:type="spellStart"/>
      <w:r w:rsidRPr="00657426">
        <w:rPr>
          <w:b/>
          <w:i/>
        </w:rPr>
        <w:t>pidú</w:t>
      </w:r>
      <w:proofErr w:type="spellEnd"/>
      <w:r>
        <w:rPr>
          <w:i/>
        </w:rPr>
        <w:t xml:space="preserve"> </w:t>
      </w:r>
      <w:r>
        <w:t>‘giant otter’ (</w:t>
      </w:r>
      <w:proofErr w:type="spellStart"/>
      <w:r w:rsidRPr="00F72C2A">
        <w:rPr>
          <w:i/>
        </w:rPr>
        <w:t>Pteronura</w:t>
      </w:r>
      <w:proofErr w:type="spellEnd"/>
      <w:r w:rsidRPr="00F72C2A">
        <w:rPr>
          <w:i/>
        </w:rPr>
        <w:t xml:space="preserve"> </w:t>
      </w:r>
      <w:proofErr w:type="spellStart"/>
      <w:r w:rsidRPr="00F72C2A">
        <w:rPr>
          <w:i/>
        </w:rPr>
        <w:t>brasiliensis</w:t>
      </w:r>
      <w:proofErr w:type="spellEnd"/>
      <w:r>
        <w:t>) mean ‘Neotropical otter’ (</w:t>
      </w:r>
      <w:proofErr w:type="spellStart"/>
      <w:r w:rsidRPr="00F72C2A">
        <w:rPr>
          <w:i/>
        </w:rPr>
        <w:t>Lontra</w:t>
      </w:r>
      <w:proofErr w:type="spellEnd"/>
      <w:r w:rsidRPr="00F72C2A">
        <w:rPr>
          <w:i/>
        </w:rPr>
        <w:t xml:space="preserve"> </w:t>
      </w:r>
      <w:proofErr w:type="spellStart"/>
      <w:r w:rsidRPr="00F72C2A">
        <w:rPr>
          <w:i/>
        </w:rPr>
        <w:t>longicaudis</w:t>
      </w:r>
      <w:proofErr w:type="spellEnd"/>
      <w:r>
        <w:t xml:space="preserve">) in other members of the Central North Arawak subgroup. In Australia, </w:t>
      </w:r>
      <w:proofErr w:type="spellStart"/>
      <w:r>
        <w:t>Ngumbarl</w:t>
      </w:r>
      <w:proofErr w:type="spellEnd"/>
      <w:r>
        <w:t xml:space="preserve"> </w:t>
      </w:r>
      <w:proofErr w:type="spellStart"/>
      <w:r w:rsidRPr="00657426">
        <w:rPr>
          <w:b/>
          <w:i/>
        </w:rPr>
        <w:t>jibilyurru</w:t>
      </w:r>
      <w:proofErr w:type="spellEnd"/>
      <w:r>
        <w:t xml:space="preserve"> ‘duck’ is cognate with </w:t>
      </w:r>
      <w:proofErr w:type="spellStart"/>
      <w:r>
        <w:t>Bardi</w:t>
      </w:r>
      <w:proofErr w:type="spellEnd"/>
      <w:r>
        <w:t xml:space="preserve"> </w:t>
      </w:r>
      <w:proofErr w:type="spellStart"/>
      <w:r w:rsidRPr="00657426">
        <w:rPr>
          <w:b/>
          <w:i/>
        </w:rPr>
        <w:t>jiibily</w:t>
      </w:r>
      <w:proofErr w:type="spellEnd"/>
      <w:r>
        <w:rPr>
          <w:i/>
        </w:rPr>
        <w:t xml:space="preserve"> </w:t>
      </w:r>
      <w:r>
        <w:t>‘grebe’ (</w:t>
      </w:r>
      <w:proofErr w:type="spellStart"/>
      <w:r w:rsidRPr="00F72C2A">
        <w:rPr>
          <w:i/>
        </w:rPr>
        <w:t>Tachybaptus</w:t>
      </w:r>
      <w:proofErr w:type="spellEnd"/>
      <w:r w:rsidRPr="00F72C2A">
        <w:rPr>
          <w:i/>
        </w:rPr>
        <w:t xml:space="preserve"> </w:t>
      </w:r>
      <w:proofErr w:type="spellStart"/>
      <w:r w:rsidRPr="00F72C2A">
        <w:rPr>
          <w:i/>
        </w:rPr>
        <w:t>novaehollandiae</w:t>
      </w:r>
      <w:proofErr w:type="spellEnd"/>
      <w:r>
        <w:t>). Overall, semantic shift accounts for only a small number of total changes in the lexical sample, with 156 etyma showing the change over all three case study areas.</w:t>
      </w:r>
    </w:p>
    <w:p w:rsidR="00657426" w:rsidRDefault="00657426" w:rsidP="00986537">
      <w:pPr>
        <w:spacing w:line="480" w:lineRule="auto"/>
      </w:pPr>
    </w:p>
    <w:p w:rsidR="00657426" w:rsidRPr="005C2DF6" w:rsidRDefault="00657426" w:rsidP="00986537">
      <w:pPr>
        <w:pStyle w:val="Heading1"/>
        <w:suppressAutoHyphens w:val="0"/>
        <w:autoSpaceDE w:val="0"/>
        <w:adjustRightInd w:val="0"/>
        <w:spacing w:line="480" w:lineRule="auto"/>
        <w:ind w:left="432" w:hanging="432"/>
        <w:textAlignment w:val="auto"/>
      </w:pPr>
      <w:r>
        <w:t>Further Discussion</w:t>
      </w:r>
    </w:p>
    <w:p w:rsidR="00657426" w:rsidRDefault="00657426" w:rsidP="00986537">
      <w:pPr>
        <w:pStyle w:val="Heading2"/>
        <w:suppressAutoHyphens w:val="0"/>
        <w:autoSpaceDE w:val="0"/>
        <w:adjustRightInd w:val="0"/>
        <w:spacing w:line="480" w:lineRule="auto"/>
        <w:ind w:left="576" w:hanging="576"/>
        <w:textAlignment w:val="auto"/>
      </w:pPr>
      <w:r>
        <w:t>Why should flora/fauna loan rates be higher than basic vocabulary?</w:t>
      </w:r>
    </w:p>
    <w:p w:rsidR="00657426" w:rsidRDefault="00657426" w:rsidP="00986537">
      <w:pPr>
        <w:spacing w:line="480" w:lineRule="auto"/>
      </w:pPr>
      <w:r>
        <w:t xml:space="preserve">That basic vocabulary is relatively resistant to borrowing is a standard axiom of historical linguistics, and relates to these terms’ frequency in discourse, their comparable existence across languages, their cultural familiarity, and other factors. It is likewise well known that other semantic domains exhibit more variable rates of replacement and innovation through </w:t>
      </w:r>
      <w:r>
        <w:lastRenderedPageBreak/>
        <w:t xml:space="preserve">borrowing (see, e.g., </w:t>
      </w:r>
      <w:r>
        <w:rPr>
          <w:noProof/>
        </w:rPr>
        <w:t>(Haspelmath and Tadmor 2009; Tadmor, Haspelmath, and Taylor 2010)</w:t>
      </w:r>
      <w:r>
        <w:t>.</w:t>
      </w:r>
      <w:r>
        <w:rPr>
          <w:rStyle w:val="EndnoteReference"/>
        </w:rPr>
        <w:endnoteReference w:id="17"/>
      </w:r>
      <w:r>
        <w:t xml:space="preserve"> A number of factors may foster borrowing of flora and fauna terms in ways that are less likely to be relevant for basic vocabulary.</w:t>
      </w:r>
    </w:p>
    <w:p w:rsidR="00657426" w:rsidRDefault="00657426" w:rsidP="00986537">
      <w:pPr>
        <w:spacing w:line="480" w:lineRule="auto"/>
      </w:pPr>
      <w:r>
        <w:tab/>
        <w:t xml:space="preserve">For example, where the presence of different plants and animals across regions varies with ecological zones (e.g., coastline, desert, mountains; see 5.6 below), languages spoken in those zones may lack the respective words in their lexicons. When speakers move to a new region and develop new familiarities and dependencies on the local flora and fauna, they innovate new terms accordingly – often by borrowing from neighboring languages. Similarly, the development of interaction and trade patterns that bring new entities into regions where they were previously unknown can lead to comparable borrowing events. </w:t>
      </w:r>
    </w:p>
    <w:p w:rsidR="00657426" w:rsidRPr="007A69C5" w:rsidRDefault="00657426" w:rsidP="00986537">
      <w:pPr>
        <w:spacing w:line="480" w:lineRule="auto"/>
      </w:pPr>
      <w:r>
        <w:tab/>
        <w:t>Changes in cultural and subsistence practices may also foster the adoption or renewal of flora and fauna terms, even where these had already existed in a given language’s lexicon. Where patterns of use for particular plants and animals are subject to innovation, this can lead to prestige- or need-driven borrowing as the innovation spreads. These processes are</w:t>
      </w:r>
      <w:r w:rsidRPr="00DD7930">
        <w:t xml:space="preserve"> </w:t>
      </w:r>
      <w:r>
        <w:t xml:space="preserve">especially likely to affect domesticates and </w:t>
      </w:r>
      <w:proofErr w:type="spellStart"/>
      <w:r>
        <w:t>psychotropics</w:t>
      </w:r>
      <w:proofErr w:type="spellEnd"/>
      <w:r>
        <w:t xml:space="preserve">, but changes in prominence for non-cultivated food sources or ritually relevant species may also result in lexical borrowing, particularly where these changes are facilitated by interaction among language groups. In such cases, we note that an increase in cultural salience may in fact </w:t>
      </w:r>
      <w:r>
        <w:rPr>
          <w:i/>
        </w:rPr>
        <w:t>encourage</w:t>
      </w:r>
      <w:r>
        <w:t xml:space="preserve"> lexical replacement by borrowing, in contrast to the association between long-term salience and lexical stability over time </w:t>
      </w:r>
      <w:r>
        <w:rPr>
          <w:noProof/>
        </w:rPr>
        <w:t>(see Section 2.2 above and Berlin, Breedlove, and Raven 1973)</w:t>
      </w:r>
      <w:r>
        <w:t xml:space="preserve">. For example, the borrowing of both domesticated and wild ‘cacao’ terms in the Amazonian language </w:t>
      </w:r>
      <w:proofErr w:type="spellStart"/>
      <w:r>
        <w:t>Ka’apor</w:t>
      </w:r>
      <w:proofErr w:type="spellEnd"/>
      <w:r>
        <w:t xml:space="preserve">, as discussed by </w:t>
      </w:r>
      <w:proofErr w:type="spellStart"/>
      <w:r>
        <w:t>Balée</w:t>
      </w:r>
      <w:proofErr w:type="spellEnd"/>
      <w:r>
        <w:t xml:space="preserve"> </w:t>
      </w:r>
      <w:r>
        <w:rPr>
          <w:noProof/>
        </w:rPr>
        <w:t>(2003)</w:t>
      </w:r>
      <w:r>
        <w:t xml:space="preserve">, was apparently driven by </w:t>
      </w:r>
      <w:r>
        <w:lastRenderedPageBreak/>
        <w:t xml:space="preserve">the importance of domesticated cacao as an export crop within the Jesuit mission-driven regional economy of the eighteenth century. This phenomenon may also account for several ‘rubber-tree’ loans within our South American sample. </w:t>
      </w:r>
    </w:p>
    <w:p w:rsidR="00657426" w:rsidRDefault="00657426" w:rsidP="00986537">
      <w:pPr>
        <w:spacing w:line="480" w:lineRule="auto"/>
      </w:pPr>
      <w:r>
        <w:tab/>
        <w:t xml:space="preserve">Finally, flora and fauna terms may also be prone to replacement deriving from other kinds of cultural significance, notably taboos and cultural ‘showmanship’. Taboo is of course a well known motivation for lexical innovation, and often applies to potential predators or ritually significant animals such as bears or jaguars (see Section 4.3.1 above; for example, the loan of ‘jaguar’ from Tupi-Guarani in </w:t>
      </w:r>
      <w:proofErr w:type="spellStart"/>
      <w:r>
        <w:t>Nadëb</w:t>
      </w:r>
      <w:proofErr w:type="spellEnd"/>
      <w:r>
        <w:t xml:space="preserve"> (South America) could plausibly be attributed to taboo). There is likewise some evidence from South American languages that the cultural practice of showing off one’s hunting ability may foster lexical replacement of certain animal terms; this occurs via the generation of synonym sets relating mostly to medium to large mammals, as Fleck and Voss (</w:t>
      </w:r>
      <w:r>
        <w:rPr>
          <w:noProof/>
        </w:rPr>
        <w:t>(2006)</w:t>
      </w:r>
      <w:r>
        <w:t xml:space="preserve"> investigate in the </w:t>
      </w:r>
      <w:proofErr w:type="spellStart"/>
      <w:r>
        <w:t>Panoan</w:t>
      </w:r>
      <w:proofErr w:type="spellEnd"/>
      <w:r>
        <w:t xml:space="preserve"> language </w:t>
      </w:r>
      <w:proofErr w:type="spellStart"/>
      <w:r>
        <w:t>Matses</w:t>
      </w:r>
      <w:proofErr w:type="spellEnd"/>
      <w:r>
        <w:t xml:space="preserve">. Similar patterns are found in other regional languages as well, such as </w:t>
      </w:r>
      <w:proofErr w:type="spellStart"/>
      <w:r>
        <w:t>Kulina</w:t>
      </w:r>
      <w:proofErr w:type="spellEnd"/>
      <w:r>
        <w:t xml:space="preserve"> (</w:t>
      </w:r>
      <w:proofErr w:type="spellStart"/>
      <w:r>
        <w:t>Arawá</w:t>
      </w:r>
      <w:proofErr w:type="spellEnd"/>
      <w:r>
        <w:t xml:space="preserve">) and </w:t>
      </w:r>
      <w:proofErr w:type="spellStart"/>
      <w:r>
        <w:t>Dâw</w:t>
      </w:r>
      <w:proofErr w:type="spellEnd"/>
      <w:r>
        <w:t xml:space="preserve"> (</w:t>
      </w:r>
      <w:proofErr w:type="spellStart"/>
      <w:r>
        <w:t>Nadahup</w:t>
      </w:r>
      <w:proofErr w:type="spellEnd"/>
      <w:r>
        <w:t xml:space="preserve">), although borrowing appears to play a minimal role in these innovations. </w:t>
      </w:r>
    </w:p>
    <w:p w:rsidR="00657426" w:rsidRPr="008B148C" w:rsidRDefault="00657426" w:rsidP="00986537">
      <w:pPr>
        <w:spacing w:line="480" w:lineRule="auto"/>
        <w:rPr>
          <w:i/>
        </w:rPr>
      </w:pPr>
    </w:p>
    <w:p w:rsidR="00657426" w:rsidRDefault="00657426" w:rsidP="00986537">
      <w:pPr>
        <w:pStyle w:val="Heading2"/>
        <w:suppressAutoHyphens w:val="0"/>
        <w:autoSpaceDE w:val="0"/>
        <w:adjustRightInd w:val="0"/>
        <w:spacing w:line="480" w:lineRule="auto"/>
        <w:ind w:left="576" w:hanging="576"/>
        <w:textAlignment w:val="auto"/>
      </w:pPr>
      <w:r>
        <w:t>Loan rates and social factors</w:t>
      </w:r>
    </w:p>
    <w:p w:rsidR="00657426" w:rsidRDefault="00657426" w:rsidP="00986537">
      <w:pPr>
        <w:spacing w:line="480" w:lineRule="auto"/>
      </w:pPr>
      <w:r>
        <w:t xml:space="preserve">As discussed in Section 4.1 above, the broad demographic factors identified in basic vocabulary borrowing did not appear to be relevant for flora/fauna borrowing, even though overall loan rates were correlated. The functional motivation for loaning a word may vary greatly across semantic domains. In flora/fauna, for example, loans often enter languages when speakers come into contact with a new item for which they do not have a term. As </w:t>
      </w:r>
      <w:r>
        <w:lastRenderedPageBreak/>
        <w:t xml:space="preserve">noted in 5.1 above, however, this is rarely (if ever) the case for basic vocabulary, since the borrowing replaces an existing term rather than creating a new one. We might expect a certain base percentage of flora/fauna loans to be due to the same social processes as give rise to loans in other domains (including prestige borrowing, taboo replacement, and assimilated </w:t>
      </w:r>
      <w:proofErr w:type="spellStart"/>
      <w:r>
        <w:t>codeswitches</w:t>
      </w:r>
      <w:proofErr w:type="spellEnd"/>
      <w:r>
        <w:t xml:space="preserve">) while others would be the result of factors particular to the domain, such as needing a word for a newly encountered item. </w:t>
      </w:r>
    </w:p>
    <w:p w:rsidR="00657426" w:rsidRDefault="00657426" w:rsidP="00986537">
      <w:pPr>
        <w:spacing w:line="480" w:lineRule="auto"/>
        <w:ind w:firstLine="576"/>
      </w:pPr>
      <w:r>
        <w:t xml:space="preserve">As noted above, some of the highest loan rates in basic vocabulary were associated with languages in the process of shift: both shift toward the donor language (e.g. </w:t>
      </w:r>
      <w:proofErr w:type="spellStart"/>
      <w:r>
        <w:t>Bankalachi</w:t>
      </w:r>
      <w:proofErr w:type="spellEnd"/>
      <w:r>
        <w:t>/</w:t>
      </w:r>
      <w:proofErr w:type="spellStart"/>
      <w:r>
        <w:t>Toloim</w:t>
      </w:r>
      <w:proofErr w:type="spellEnd"/>
      <w:r>
        <w:t xml:space="preserve">) and shift away from the donor language(s) (e.g. Gurindji) was associated with outlier loan levels. The same languages have high loan levels in flora/fauna. One might assume that if speakers are shifting away from a language, they might not acquire vocabulary in specialist domains such as ethnobiology. The association with language shift, however, may not hold more generally. For example, though Aka and </w:t>
      </w:r>
      <w:proofErr w:type="spellStart"/>
      <w:r>
        <w:t>Baka</w:t>
      </w:r>
      <w:proofErr w:type="spellEnd"/>
      <w:r>
        <w:t xml:space="preserve"> Pygmies have shifted from their original languages to Bantu and </w:t>
      </w:r>
      <w:proofErr w:type="spellStart"/>
      <w:r>
        <w:t>Ubangian</w:t>
      </w:r>
      <w:proofErr w:type="spellEnd"/>
      <w:r>
        <w:t xml:space="preserve"> languages respectively, the share approximately 20% of vocabulary, much of which is in specialized semantic domains such as flora and fauna and marriage </w:t>
      </w:r>
      <w:r>
        <w:rPr>
          <w:noProof/>
        </w:rPr>
        <w:t>(Bahuchet 2012)</w:t>
      </w:r>
      <w:r>
        <w:t>. In this case, flora/fauna terminology has been retained.</w:t>
      </w:r>
    </w:p>
    <w:p w:rsidR="00657426" w:rsidRDefault="00657426" w:rsidP="00986537">
      <w:pPr>
        <w:spacing w:line="480" w:lineRule="auto"/>
        <w:ind w:firstLine="576"/>
      </w:pPr>
    </w:p>
    <w:p w:rsidR="00657426" w:rsidRDefault="00657426" w:rsidP="00986537">
      <w:pPr>
        <w:pStyle w:val="Heading2"/>
        <w:suppressAutoHyphens w:val="0"/>
        <w:autoSpaceDE w:val="0"/>
        <w:adjustRightInd w:val="0"/>
        <w:spacing w:line="480" w:lineRule="auto"/>
        <w:ind w:left="576" w:hanging="576"/>
        <w:textAlignment w:val="auto"/>
      </w:pPr>
      <w:r>
        <w:t xml:space="preserve">Hunter-gatherers and structure of the ethnobiological nomenclature system </w:t>
      </w:r>
    </w:p>
    <w:p w:rsidR="00657426" w:rsidRDefault="00657426" w:rsidP="00986537">
      <w:pPr>
        <w:autoSpaceDE w:val="0"/>
        <w:adjustRightInd w:val="0"/>
        <w:spacing w:line="480" w:lineRule="auto"/>
      </w:pPr>
      <w:r>
        <w:t xml:space="preserve">None of these speculations explains the robust difference between loan rates in hunter-gatherer and agriculturalist groups, however. While loan rates were substantially higher for hunter-gatherers, there was also more variation. The standard deviation for agriculturalist </w:t>
      </w:r>
      <w:r>
        <w:lastRenderedPageBreak/>
        <w:t xml:space="preserve">groups was 0.027, while for hunter-gatherers it was 0.121. This implies that agriculturalists are more uniform than hunter-gatherers, and the relevant explicandum is not why hunter-gatherer loan levels are so high, but rather what makes agriculturalists more uniform. One possible explanation relates to Brown’s </w:t>
      </w:r>
      <w:r>
        <w:rPr>
          <w:noProof/>
        </w:rPr>
        <w:t>(1985:46)</w:t>
      </w:r>
      <w:r>
        <w:t xml:space="preserve"> observation that hunter-gatherers may tend to have less elaborate flora-fauna lexicons</w:t>
      </w:r>
      <w:r w:rsidRPr="003D0FE8">
        <w:t xml:space="preserve"> </w:t>
      </w:r>
      <w:r>
        <w:t xml:space="preserve">overall than do agriculturalists, which would predict that hunter-gatherers who come into contact with agriculturalists may augment their lexicons through this cultural contact, whether by innovation or by borrowing (however, we note that this possibility does not seem to be supported by our results, in which Australian hunter-gatherers – who have no contact with agriculturalists – have higher flora-fauna loan rates than do North and South American hunter-gatherers, who do interact with farmers). If the difference between basic vocabulary and flora/fauna loan rates were higher in the Americas than in Australia, this might provide support for this hypothesis. Mean borrowing rates are 7% higher for Australia, 6% for North America, and 4% for South America. In all case study areas, the standard deviation is higher for flora/fauna loans than for loans in basic vocabulary, but while it is only 2% higher in Australia, it is 10% higher in North America (and 3% in South America). Another possible explanation is that the unbalanced prestige relations that typically pertain between hunter-gatherers and their agriculturalist neighbors </w:t>
      </w:r>
      <w:r>
        <w:rPr>
          <w:noProof/>
        </w:rPr>
        <w:t>(see, e.g., Peterson 1978)</w:t>
      </w:r>
      <w:r>
        <w:t xml:space="preserve"> would favor borrowing into the hunter-gatherer languages, rather than vice versa.</w:t>
      </w:r>
    </w:p>
    <w:p w:rsidR="00657426" w:rsidRDefault="00657426" w:rsidP="00986537">
      <w:pPr>
        <w:spacing w:line="480" w:lineRule="auto"/>
      </w:pPr>
    </w:p>
    <w:p w:rsidR="00657426" w:rsidRDefault="00657426" w:rsidP="00986537">
      <w:pPr>
        <w:pStyle w:val="Heading2"/>
        <w:suppressAutoHyphens w:val="0"/>
        <w:autoSpaceDE w:val="0"/>
        <w:adjustRightInd w:val="0"/>
        <w:spacing w:line="480" w:lineRule="auto"/>
        <w:ind w:left="576" w:hanging="576"/>
        <w:textAlignment w:val="auto"/>
      </w:pPr>
      <w:r>
        <w:t>Order of introduction of life-form terms</w:t>
      </w:r>
    </w:p>
    <w:p w:rsidR="00657426" w:rsidRDefault="00657426" w:rsidP="00986537">
      <w:pPr>
        <w:spacing w:line="480" w:lineRule="auto"/>
      </w:pPr>
      <w:r>
        <w:t xml:space="preserve">Brown </w:t>
      </w:r>
      <w:r>
        <w:rPr>
          <w:noProof/>
        </w:rPr>
        <w:t>(1984)</w:t>
      </w:r>
      <w:r>
        <w:t xml:space="preserve"> provides evidence that life-form terms appear in languages in a sequence, </w:t>
      </w:r>
      <w:r>
        <w:lastRenderedPageBreak/>
        <w:t>where terms for bird, fish, and snake are found before terms for mammal and ‘</w:t>
      </w:r>
      <w:proofErr w:type="spellStart"/>
      <w:r>
        <w:t>wug</w:t>
      </w:r>
      <w:proofErr w:type="spellEnd"/>
      <w:r>
        <w:t>’ (worm + bug). This implies that we may find variation in stability of life-form terms. It is likely that the presence and stability of these terms is also related to a combination of their relative cultural salience, as well as to the number of species that are found within the category in the region. The relationship here is not straightforward, however. For example, one might make the argument that languages such as those of the Yolŋu subgroup of Pama-Nyungan lack a life-form term that distinguishes ‘mammals’ from other animals</w:t>
      </w:r>
      <w:r>
        <w:rPr>
          <w:rStyle w:val="EndnoteReference"/>
        </w:rPr>
        <w:endnoteReference w:id="18"/>
      </w:r>
      <w:r>
        <w:t xml:space="preserve"> in part because the region where the languages are spoken is relatively poor in mammal species compared to, for example, the number of fish. However, that argument would not apply in the case of the Central Australian languages that lack a life-form term for ‘snake’ or ‘reptile’, despite those species being abundant in the region. It would also not explain why ‘mammal’ terms are rare more generally across Australia. </w:t>
      </w:r>
    </w:p>
    <w:p w:rsidR="00C51748" w:rsidRDefault="00657426" w:rsidP="00986537">
      <w:pPr>
        <w:spacing w:line="480" w:lineRule="auto"/>
        <w:ind w:firstLine="720"/>
      </w:pPr>
      <w:r>
        <w:t>The most stable life-form terms in the data occur in the South American case study region. They include the terms for ‘tree’, ‘bat’, ‘fish’, ‘snake’, and ‘bird’. Within Australia, the only comparably stable life form term was ‘fish’, which is found in a large set of Pama-Nyungan languages and is readily reconstructible.</w:t>
      </w:r>
      <w:r>
        <w:rPr>
          <w:rStyle w:val="EndnoteReference"/>
        </w:rPr>
        <w:endnoteReference w:id="19"/>
      </w:r>
      <w:r>
        <w:t xml:space="preserve"> </w:t>
      </w:r>
      <w:r w:rsidR="00C51748">
        <w:t xml:space="preserve">Terms for </w:t>
      </w:r>
      <w:r w:rsidR="008206CC">
        <w:t>‘</w:t>
      </w:r>
      <w:r w:rsidR="00C51748">
        <w:t>tree</w:t>
      </w:r>
      <w:r w:rsidR="008206CC">
        <w:t>’</w:t>
      </w:r>
      <w:r w:rsidR="00C51748">
        <w:t xml:space="preserve"> and </w:t>
      </w:r>
      <w:r w:rsidR="008206CC">
        <w:t>‘</w:t>
      </w:r>
      <w:r w:rsidR="00C51748">
        <w:t>ant</w:t>
      </w:r>
      <w:r w:rsidR="008206CC">
        <w:t>’</w:t>
      </w:r>
      <w:r w:rsidR="00C51748">
        <w:t xml:space="preserve"> were also relatively stable. Within the North American area, tree, frog, and fish were the most stable terms.</w:t>
      </w:r>
    </w:p>
    <w:p w:rsidR="00C51748" w:rsidRDefault="00C51748" w:rsidP="00986537">
      <w:pPr>
        <w:spacing w:line="480" w:lineRule="auto"/>
        <w:ind w:firstLine="720"/>
      </w:pPr>
      <w:r>
        <w:t>A</w:t>
      </w:r>
      <w:r w:rsidR="000856FB">
        <w:t>s noted above (section 4.4)</w:t>
      </w:r>
      <w:r w:rsidR="005356A5">
        <w:t>, a</w:t>
      </w:r>
      <w:r w:rsidR="000856FB">
        <w:t xml:space="preserve"> </w:t>
      </w:r>
      <w:r w:rsidR="004F74A7">
        <w:t>life-form term</w:t>
      </w:r>
      <w:r>
        <w:t xml:space="preserve"> for </w:t>
      </w:r>
      <w:r w:rsidR="008206CC">
        <w:t>‘</w:t>
      </w:r>
      <w:r>
        <w:t>insect</w:t>
      </w:r>
      <w:r w:rsidR="008206CC">
        <w:t>’</w:t>
      </w:r>
      <w:r>
        <w:t xml:space="preserve"> was missing from all South American languages. Australian and North American vocabularies also tended to be missing this term but it is unclear whether this is because the languages lack such a term or whether it was not salient to the </w:t>
      </w:r>
      <w:r w:rsidR="00FA4E62">
        <w:t>English-</w:t>
      </w:r>
      <w:r>
        <w:t xml:space="preserve">speaking linguists who recorded the languages and who therefore did not ask for a term. </w:t>
      </w:r>
      <w:r w:rsidR="0002612C">
        <w:t xml:space="preserve">For instance, generic </w:t>
      </w:r>
      <w:r w:rsidR="008206CC">
        <w:t>“</w:t>
      </w:r>
      <w:r w:rsidR="0002612C">
        <w:t>insect</w:t>
      </w:r>
      <w:r w:rsidR="008206CC">
        <w:t>”</w:t>
      </w:r>
      <w:r w:rsidR="0002612C">
        <w:t xml:space="preserve"> or </w:t>
      </w:r>
      <w:r w:rsidR="008206CC">
        <w:t>“</w:t>
      </w:r>
      <w:r w:rsidR="0002612C">
        <w:t>bug</w:t>
      </w:r>
      <w:r w:rsidR="008206CC">
        <w:t>”</w:t>
      </w:r>
      <w:r w:rsidR="0002612C">
        <w:t xml:space="preserve"> </w:t>
      </w:r>
      <w:r w:rsidR="00D30A2D">
        <w:t xml:space="preserve">was not </w:t>
      </w:r>
      <w:r w:rsidR="00D30A2D">
        <w:lastRenderedPageBreak/>
        <w:t>included</w:t>
      </w:r>
      <w:r w:rsidR="0002612C">
        <w:t xml:space="preserve"> in the elicitation instruments used by </w:t>
      </w:r>
      <w:r w:rsidR="00D30A2D">
        <w:t xml:space="preserve">the biologist </w:t>
      </w:r>
      <w:r w:rsidR="0002612C">
        <w:t xml:space="preserve">C. H. Merriam </w:t>
      </w:r>
      <w:r w:rsidR="00D30A2D">
        <w:t xml:space="preserve">with languages of California and the Great Basin. </w:t>
      </w:r>
      <w:r>
        <w:t xml:space="preserve">Other terms with high levels of missing data were </w:t>
      </w:r>
      <w:r w:rsidR="008206CC">
        <w:t>‘</w:t>
      </w:r>
      <w:r>
        <w:t>beans</w:t>
      </w:r>
      <w:r w:rsidR="008206CC">
        <w:t>’</w:t>
      </w:r>
      <w:r>
        <w:t xml:space="preserve"> </w:t>
      </w:r>
      <w:r w:rsidR="00980F24">
        <w:t xml:space="preserve">and </w:t>
      </w:r>
      <w:r w:rsidR="008206CC">
        <w:t>‘</w:t>
      </w:r>
      <w:r w:rsidR="00980F24">
        <w:t>horse</w:t>
      </w:r>
      <w:r w:rsidR="008206CC">
        <w:t>’</w:t>
      </w:r>
      <w:r w:rsidR="00980F24">
        <w:t xml:space="preserve"> </w:t>
      </w:r>
      <w:r>
        <w:t>(South America</w:t>
      </w:r>
      <w:r w:rsidR="00980F24">
        <w:t xml:space="preserve">; note that horses </w:t>
      </w:r>
      <w:r w:rsidR="0025462D">
        <w:t>are</w:t>
      </w:r>
      <w:r w:rsidR="00980F24">
        <w:t xml:space="preserve"> largely absent from the region</w:t>
      </w:r>
      <w:r w:rsidR="0025462D">
        <w:t>, and therefore are not included in most dictionaries</w:t>
      </w:r>
      <w:r>
        <w:t xml:space="preserve">), </w:t>
      </w:r>
      <w:r w:rsidR="008206CC">
        <w:t>‘</w:t>
      </w:r>
      <w:r>
        <w:t>shark</w:t>
      </w:r>
      <w:r w:rsidR="008206CC">
        <w:t>’</w:t>
      </w:r>
      <w:r>
        <w:t xml:space="preserve"> and </w:t>
      </w:r>
      <w:r w:rsidR="008206CC">
        <w:t>‘</w:t>
      </w:r>
      <w:r>
        <w:t>stingray</w:t>
      </w:r>
      <w:r w:rsidR="008206CC">
        <w:t>’</w:t>
      </w:r>
      <w:r>
        <w:t xml:space="preserve"> (Australia; though present in the coastal languages so this level of missing data is skewed by the relatively large number of inland languages in the sample), and </w:t>
      </w:r>
      <w:r w:rsidR="008206CC">
        <w:t>‘</w:t>
      </w:r>
      <w:r>
        <w:t>snake</w:t>
      </w:r>
      <w:r w:rsidR="008206CC">
        <w:t>’</w:t>
      </w:r>
      <w:r>
        <w:t xml:space="preserve"> (Australia; missing in part because of the languages which lack this life-form term).</w:t>
      </w:r>
    </w:p>
    <w:p w:rsidR="00CD26BB" w:rsidRDefault="004F74A7" w:rsidP="00986537">
      <w:pPr>
        <w:spacing w:line="480" w:lineRule="auto"/>
        <w:ind w:firstLine="720"/>
      </w:pPr>
      <w:r>
        <w:t xml:space="preserve">The term for </w:t>
      </w:r>
      <w:r w:rsidR="008206CC">
        <w:t>‘</w:t>
      </w:r>
      <w:r>
        <w:t>bird</w:t>
      </w:r>
      <w:r w:rsidR="008206CC">
        <w:t>’</w:t>
      </w:r>
      <w:r>
        <w:t xml:space="preserve">, as noted above, was stable in the North </w:t>
      </w:r>
      <w:r w:rsidR="000801F8">
        <w:t xml:space="preserve">and South </w:t>
      </w:r>
      <w:r>
        <w:t>American case study region</w:t>
      </w:r>
      <w:r w:rsidR="000801F8">
        <w:t>s</w:t>
      </w:r>
      <w:r>
        <w:t xml:space="preserve">. In Australia, however, it was (along with </w:t>
      </w:r>
      <w:r w:rsidR="008206CC">
        <w:t>‘</w:t>
      </w:r>
      <w:r>
        <w:t>kangaroo</w:t>
      </w:r>
      <w:r w:rsidR="008206CC">
        <w:t>’</w:t>
      </w:r>
      <w:r>
        <w:t xml:space="preserve"> and </w:t>
      </w:r>
      <w:r w:rsidR="008206CC">
        <w:t>‘</w:t>
      </w:r>
      <w:r>
        <w:t>bat</w:t>
      </w:r>
      <w:r w:rsidR="008206CC">
        <w:t>’</w:t>
      </w:r>
      <w:r>
        <w:t>) one of the most frequently loaned life-form terms.</w:t>
      </w:r>
      <w:r w:rsidR="00CD26BB">
        <w:t xml:space="preserve"> This was in part because </w:t>
      </w:r>
      <w:r w:rsidR="008206CC">
        <w:t>‘</w:t>
      </w:r>
      <w:r w:rsidR="00CD26BB">
        <w:t>bird</w:t>
      </w:r>
      <w:r w:rsidR="008206CC">
        <w:t>’</w:t>
      </w:r>
      <w:r w:rsidR="00CD26BB">
        <w:t xml:space="preserve"> was frequently loaned</w:t>
      </w:r>
      <w:r w:rsidR="007C15B2">
        <w:t>. One term was frequently loaned</w:t>
      </w:r>
      <w:r w:rsidR="00CD26BB">
        <w:t xml:space="preserve"> among the Marrngu and Nyulnyulan languages of coastal Western Australi</w:t>
      </w:r>
      <w:r w:rsidR="007C15B2">
        <w:t>a, while a second term was found (also extensively loaned) to the east of those languages.</w:t>
      </w:r>
    </w:p>
    <w:p w:rsidR="00C51748" w:rsidRDefault="00CD26BB" w:rsidP="00986537">
      <w:pPr>
        <w:spacing w:line="480" w:lineRule="auto"/>
        <w:ind w:firstLine="720"/>
      </w:pPr>
      <w:r>
        <w:t xml:space="preserve">The life-form terms also showed substantial numbers of unique etyma (though not significantly more than other categories). The </w:t>
      </w:r>
      <w:r w:rsidR="008206CC">
        <w:t>‘</w:t>
      </w:r>
      <w:r>
        <w:t>insect</w:t>
      </w:r>
      <w:r w:rsidR="008206CC">
        <w:t>’</w:t>
      </w:r>
      <w:r>
        <w:t xml:space="preserve"> life form term was most frequently unique in North America. South American </w:t>
      </w:r>
      <w:r w:rsidR="008206CC">
        <w:t>‘</w:t>
      </w:r>
      <w:r>
        <w:t>caterpillar</w:t>
      </w:r>
      <w:r w:rsidR="008206CC">
        <w:t>’</w:t>
      </w:r>
      <w:r>
        <w:t xml:space="preserve"> and Australian </w:t>
      </w:r>
      <w:r w:rsidR="008206CC">
        <w:t>‘</w:t>
      </w:r>
      <w:r>
        <w:t>goanna</w:t>
      </w:r>
      <w:r w:rsidR="008206CC">
        <w:t>’</w:t>
      </w:r>
      <w:r>
        <w:t xml:space="preserve"> life form terms were also frequently </w:t>
      </w:r>
      <w:proofErr w:type="spellStart"/>
      <w:r>
        <w:t>unetymologizable</w:t>
      </w:r>
      <w:proofErr w:type="spellEnd"/>
      <w:r>
        <w:t xml:space="preserve">. </w:t>
      </w:r>
      <w:r w:rsidR="007C15B2">
        <w:t xml:space="preserve">In the Australian case, the lack of </w:t>
      </w:r>
      <w:proofErr w:type="spellStart"/>
      <w:r w:rsidR="007C15B2">
        <w:t>reconstructibility</w:t>
      </w:r>
      <w:proofErr w:type="spellEnd"/>
      <w:r w:rsidR="007C15B2">
        <w:t xml:space="preserve"> is probably caused by shifts between a generic term for </w:t>
      </w:r>
      <w:r w:rsidR="008206CC">
        <w:t>‘</w:t>
      </w:r>
      <w:r w:rsidR="007C15B2">
        <w:t>goanna</w:t>
      </w:r>
      <w:r w:rsidR="008206CC">
        <w:t>’</w:t>
      </w:r>
      <w:r w:rsidR="007C15B2">
        <w:t xml:space="preserve"> and the common species, </w:t>
      </w:r>
      <w:proofErr w:type="spellStart"/>
      <w:r w:rsidR="007C15B2">
        <w:rPr>
          <w:i/>
        </w:rPr>
        <w:t>Varanus</w:t>
      </w:r>
      <w:proofErr w:type="spellEnd"/>
      <w:r w:rsidR="007C15B2">
        <w:rPr>
          <w:i/>
        </w:rPr>
        <w:t xml:space="preserve"> </w:t>
      </w:r>
      <w:proofErr w:type="spellStart"/>
      <w:r w:rsidR="007C15B2" w:rsidRPr="007C15B2">
        <w:rPr>
          <w:i/>
        </w:rPr>
        <w:t>gouldii</w:t>
      </w:r>
      <w:proofErr w:type="spellEnd"/>
      <w:r w:rsidR="007C15B2">
        <w:t>, which may also have a specific name. Overall, however, t</w:t>
      </w:r>
      <w:r w:rsidRPr="007C15B2">
        <w:t>here</w:t>
      </w:r>
      <w:r>
        <w:t xml:space="preserve"> is nothing that seems to unite the life-form terms that show exceptionally high (or exceptionally low) levels of unique data.</w:t>
      </w:r>
    </w:p>
    <w:p w:rsidR="00DF2855" w:rsidRDefault="00DF2855" w:rsidP="00986537">
      <w:pPr>
        <w:spacing w:line="480" w:lineRule="auto"/>
        <w:ind w:firstLine="720"/>
      </w:pPr>
    </w:p>
    <w:p w:rsidR="005C2DF6" w:rsidRDefault="005C2DF6" w:rsidP="00986537">
      <w:pPr>
        <w:pStyle w:val="Heading2"/>
        <w:suppressAutoHyphens w:val="0"/>
        <w:autoSpaceDE w:val="0"/>
        <w:adjustRightInd w:val="0"/>
        <w:spacing w:line="480" w:lineRule="auto"/>
        <w:ind w:left="576" w:hanging="576"/>
        <w:textAlignment w:val="auto"/>
      </w:pPr>
      <w:r>
        <w:lastRenderedPageBreak/>
        <w:t>Cultivars and stability</w:t>
      </w:r>
    </w:p>
    <w:p w:rsidR="009B278A" w:rsidRPr="008206CC" w:rsidRDefault="00EC6C2D" w:rsidP="00986537">
      <w:pPr>
        <w:spacing w:line="480" w:lineRule="auto"/>
      </w:pPr>
      <w:r w:rsidRPr="008206CC">
        <w:t xml:space="preserve">As noted </w:t>
      </w:r>
      <w:r>
        <w:t>above (</w:t>
      </w:r>
      <w:r w:rsidR="00327FFA">
        <w:t xml:space="preserve">Section </w:t>
      </w:r>
      <w:r w:rsidR="00743818">
        <w:t>4.3.1</w:t>
      </w:r>
      <w:r>
        <w:t>), cultivar</w:t>
      </w:r>
      <w:r w:rsidR="00CD7C6B">
        <w:t xml:space="preserve"> term</w:t>
      </w:r>
      <w:r>
        <w:t>s might be expected to be particularly resistant to borrowing on one hand because of their cultural salience (see Berlin et al. 1973</w:t>
      </w:r>
      <w:r w:rsidR="00CD7C6B">
        <w:t xml:space="preserve">, </w:t>
      </w:r>
      <w:proofErr w:type="spellStart"/>
      <w:r w:rsidR="00CD7C6B">
        <w:t>Balée</w:t>
      </w:r>
      <w:proofErr w:type="spellEnd"/>
      <w:r w:rsidR="00CD7C6B">
        <w:t xml:space="preserve"> and Moore 1991</w:t>
      </w:r>
      <w:r>
        <w:t>), but only for as long as</w:t>
      </w:r>
      <w:r>
        <w:rPr>
          <w:i/>
        </w:rPr>
        <w:t xml:space="preserve"> </w:t>
      </w:r>
      <w:r>
        <w:t>they have been important for that group</w:t>
      </w:r>
      <w:r w:rsidR="008206CC">
        <w:t>’</w:t>
      </w:r>
      <w:r>
        <w:t xml:space="preserve">s subsistence. On the other hand, where they have only recently attained cultural importance – especially where this came about via </w:t>
      </w:r>
      <w:r w:rsidR="00996AB1">
        <w:t xml:space="preserve">group interaction – </w:t>
      </w:r>
      <w:r w:rsidR="00CD7C6B">
        <w:t>cultivar terms</w:t>
      </w:r>
      <w:r w:rsidR="00996AB1">
        <w:t xml:space="preserve"> </w:t>
      </w:r>
      <w:r w:rsidR="00CD7C6B">
        <w:t xml:space="preserve">may be </w:t>
      </w:r>
      <w:r w:rsidR="00371370">
        <w:t xml:space="preserve">more </w:t>
      </w:r>
      <w:r w:rsidR="00CD7C6B">
        <w:t xml:space="preserve">likely to exhibit borrowing. In our sample, terms for domesticated plants showed no significant difference in loanword status compared to the rest of the lexicon, </w:t>
      </w:r>
      <w:r w:rsidR="00C4401D">
        <w:t>both across and</w:t>
      </w:r>
      <w:r w:rsidR="00CD7C6B">
        <w:t xml:space="preserve"> within </w:t>
      </w:r>
      <w:r w:rsidR="00C4401D">
        <w:t xml:space="preserve">the American </w:t>
      </w:r>
      <w:r w:rsidR="00CD7C6B">
        <w:t xml:space="preserve">case study regions. </w:t>
      </w:r>
      <w:r w:rsidR="00C4401D">
        <w:t>It is possible that this finding has to do with relatively lower vs. higher loan rates among cultivars between agriculturalist and hunter-gatherer languages, but unfortunately there are not enough data points to test this difference statistically. However, there is at least some anecdotal evidence that cultivars show relatively high rates of</w:t>
      </w:r>
      <w:r w:rsidR="00717649">
        <w:t xml:space="preserve"> innovation and</w:t>
      </w:r>
      <w:r w:rsidR="00C4401D">
        <w:t xml:space="preserve"> borrowing among hunter-gatherers, most notably within the Nadahup family (see Epps forthcoming)</w:t>
      </w:r>
      <w:r w:rsidR="00980448">
        <w:t xml:space="preserve">; see also the high loan counts among particular domesticates and </w:t>
      </w:r>
      <w:proofErr w:type="spellStart"/>
      <w:r w:rsidR="00980448">
        <w:t>psychotropics</w:t>
      </w:r>
      <w:proofErr w:type="spellEnd"/>
      <w:r w:rsidR="00980448">
        <w:t xml:space="preserve"> in South America (</w:t>
      </w:r>
      <w:proofErr w:type="spellStart"/>
      <w:r w:rsidR="00371370">
        <w:t>cf</w:t>
      </w:r>
      <w:proofErr w:type="spellEnd"/>
      <w:r w:rsidR="00371370">
        <w:t xml:space="preserve"> Section </w:t>
      </w:r>
      <w:r w:rsidR="00743818">
        <w:t>4.2</w:t>
      </w:r>
      <w:r w:rsidR="00980448">
        <w:t xml:space="preserve"> above). On the other hand, most South American groups that depend heavily on hunting and gathering do depend on agriculture to some degree as well, and this dependence </w:t>
      </w:r>
      <w:r w:rsidR="00717649">
        <w:t xml:space="preserve">appears in most cases to be old – at least predating the breakup of subgroups into individual languages. </w:t>
      </w:r>
      <w:r w:rsidR="000074E4">
        <w:t>Finally, we note that a</w:t>
      </w:r>
      <w:r w:rsidR="00C44A62">
        <w:t xml:space="preserve"> comparison of heritability </w:t>
      </w:r>
      <w:r w:rsidR="0047553D">
        <w:t>in</w:t>
      </w:r>
      <w:r w:rsidR="00C44A62">
        <w:t xml:space="preserve"> cultivar terms among regions and case study areas is not </w:t>
      </w:r>
      <w:r w:rsidR="0047553D">
        <w:t>straightforward because of the wide range of time-depths among families and subgroups across our sample.</w:t>
      </w:r>
      <w:r w:rsidR="00C44A62">
        <w:t xml:space="preserve"> </w:t>
      </w:r>
    </w:p>
    <w:p w:rsidR="009B278A" w:rsidRPr="008206CC" w:rsidRDefault="009B278A" w:rsidP="00986537">
      <w:pPr>
        <w:spacing w:line="480" w:lineRule="auto"/>
      </w:pPr>
    </w:p>
    <w:p w:rsidR="006846BD" w:rsidRDefault="006846BD" w:rsidP="00986537">
      <w:pPr>
        <w:pStyle w:val="Heading2"/>
        <w:suppressAutoHyphens w:val="0"/>
        <w:autoSpaceDE w:val="0"/>
        <w:adjustRightInd w:val="0"/>
        <w:spacing w:line="480" w:lineRule="auto"/>
        <w:ind w:left="576" w:hanging="576"/>
        <w:textAlignment w:val="auto"/>
      </w:pPr>
      <w:r>
        <w:lastRenderedPageBreak/>
        <w:t>Biodiversity effects within and between regions?</w:t>
      </w:r>
    </w:p>
    <w:p w:rsidR="00726013" w:rsidRDefault="00726013" w:rsidP="00986537">
      <w:pPr>
        <w:spacing w:line="480" w:lineRule="auto"/>
      </w:pPr>
      <w:r>
        <w:t xml:space="preserve">The case study areas examined here exhibit different degrees of ecological variability. In the northwest Amazon region, </w:t>
      </w:r>
      <w:r w:rsidR="00965620">
        <w:t xml:space="preserve">variability in </w:t>
      </w:r>
      <w:r>
        <w:t xml:space="preserve">biodiversity is not extensive; all languages sampled are spoken in inland regions with multiple waterways, relatively low elevation, and tropical rain forest, although there are some differences </w:t>
      </w:r>
      <w:r w:rsidR="00965620">
        <w:t>relating to</w:t>
      </w:r>
      <w:r>
        <w:t xml:space="preserve"> size of waterways, </w:t>
      </w:r>
      <w:r w:rsidR="00965620">
        <w:t xml:space="preserve">soil type, </w:t>
      </w:r>
      <w:r>
        <w:t xml:space="preserve">access to highlands, and presence of savannah.  In contrast, biodiversity for the North American sample is striking.  The sample includes languages from the Pacific Coast, from the California Central Valley, from the Sierra Nevada, and from the inland desert regions. </w:t>
      </w:r>
      <w:r w:rsidR="00A74618">
        <w:t xml:space="preserve">The Australian sample also includes considerable biodiversity, from desert regions to tropical rainforest. </w:t>
      </w:r>
    </w:p>
    <w:p w:rsidR="00726013" w:rsidRDefault="00726013" w:rsidP="00986537">
      <w:pPr>
        <w:spacing w:line="480" w:lineRule="auto"/>
        <w:ind w:firstLine="720"/>
      </w:pPr>
      <w:r>
        <w:t xml:space="preserve">As noted above, differences across regional ecological zones are often tied to different levels of biodiversity, and these differences could plausibly foster lexical borrowing of flora and fauna terms as groups move or trade between zones. </w:t>
      </w:r>
    </w:p>
    <w:p w:rsidR="009743F5" w:rsidRDefault="00965620" w:rsidP="00986537">
      <w:pPr>
        <w:spacing w:line="480" w:lineRule="auto"/>
      </w:pPr>
      <w:r>
        <w:t xml:space="preserve">However, with a few exceptions (such as a few words for marine fauna), the lexical sample chosen for each of the three regions was designed to be as general as possible, in order to </w:t>
      </w:r>
      <w:r w:rsidR="00A74618">
        <w:t xml:space="preserve">maximize </w:t>
      </w:r>
      <w:r>
        <w:t>comparability.</w:t>
      </w:r>
      <w:r w:rsidR="00A74618">
        <w:t xml:space="preserve"> </w:t>
      </w:r>
    </w:p>
    <w:p w:rsidR="00C9700D" w:rsidRDefault="00965620" w:rsidP="00986537">
      <w:pPr>
        <w:spacing w:line="480" w:lineRule="auto"/>
        <w:ind w:firstLine="720"/>
      </w:pPr>
      <w:r>
        <w:t xml:space="preserve">It is also known that languages spoken in regions of relatively high ecological diversity and species richness have larger inventories of ethnobiological nomenclature </w:t>
      </w:r>
      <w:r w:rsidR="00233EC2">
        <w:rPr>
          <w:noProof/>
        </w:rPr>
        <w:t>(see, e.g., Maffi 2005)</w:t>
      </w:r>
      <w:r>
        <w:t>, and there may be a relationship between the number of distinctions made in a semantic field and its relative stability. For example,</w:t>
      </w:r>
      <w:r w:rsidDel="00965620">
        <w:t xml:space="preserve"> </w:t>
      </w:r>
      <w:r>
        <w:t>i</w:t>
      </w:r>
      <w:r w:rsidR="00C9700D">
        <w:t xml:space="preserve">f there are more distinct terms within a field, there is more opportunity for semantic shift. </w:t>
      </w:r>
      <w:r>
        <w:t xml:space="preserve">Unfortunately, we have no data on whether regional biodiversity could affect the results within our sample in this regard. </w:t>
      </w:r>
      <w:r w:rsidR="00C9700D" w:rsidRPr="00C9700D">
        <w:t xml:space="preserve">Because the terms in our dataset are all relatively abundant in their areas, we are </w:t>
      </w:r>
      <w:r w:rsidR="00A74618">
        <w:t xml:space="preserve">very </w:t>
      </w:r>
      <w:r w:rsidR="00C9700D" w:rsidRPr="00C9700D">
        <w:lastRenderedPageBreak/>
        <w:t>unlikely to have this as a confounding effect</w:t>
      </w:r>
      <w:r>
        <w:t>; h</w:t>
      </w:r>
      <w:r w:rsidR="00C9700D" w:rsidRPr="00C9700D">
        <w:t xml:space="preserve">owever, it </w:t>
      </w:r>
      <w:r>
        <w:t>also</w:t>
      </w:r>
      <w:r w:rsidRPr="00C9700D">
        <w:t xml:space="preserve"> </w:t>
      </w:r>
      <w:r w:rsidR="00C9700D" w:rsidRPr="00C9700D">
        <w:t>mean</w:t>
      </w:r>
      <w:r>
        <w:t xml:space="preserve">s </w:t>
      </w:r>
      <w:r w:rsidR="00C9700D" w:rsidRPr="00C9700D">
        <w:t>that we cannot</w:t>
      </w:r>
      <w:r>
        <w:t xml:space="preserve"> </w:t>
      </w:r>
      <w:r w:rsidR="00C9700D" w:rsidRPr="00C9700D">
        <w:t xml:space="preserve">investigate </w:t>
      </w:r>
      <w:r>
        <w:t>this question</w:t>
      </w:r>
      <w:r w:rsidR="00A74618">
        <w:t xml:space="preserve"> at this point</w:t>
      </w:r>
      <w:r w:rsidR="00C9700D" w:rsidRPr="00C9700D">
        <w:t>.</w:t>
      </w:r>
    </w:p>
    <w:p w:rsidR="00052640" w:rsidRDefault="00322F38" w:rsidP="00986537">
      <w:pPr>
        <w:pStyle w:val="Heading2"/>
        <w:suppressAutoHyphens w:val="0"/>
        <w:autoSpaceDE w:val="0"/>
        <w:adjustRightInd w:val="0"/>
        <w:spacing w:line="480" w:lineRule="auto"/>
        <w:ind w:left="576" w:hanging="576"/>
        <w:textAlignment w:val="auto"/>
      </w:pPr>
      <w:r>
        <w:t xml:space="preserve">Further </w:t>
      </w:r>
      <w:r w:rsidR="005C552D">
        <w:t>considerations</w:t>
      </w:r>
    </w:p>
    <w:p w:rsidR="00322F38" w:rsidRDefault="00F91819" w:rsidP="00986537">
      <w:pPr>
        <w:spacing w:line="480" w:lineRule="auto"/>
      </w:pPr>
      <w:r>
        <w:t>A few caveats are warranted. Ideally, a survey such as this would include complete ethno</w:t>
      </w:r>
      <w:r w:rsidR="0038707C">
        <w:t xml:space="preserve">biological </w:t>
      </w:r>
      <w:r>
        <w:t xml:space="preserve">nomenclature systems across broad </w:t>
      </w:r>
      <w:r w:rsidR="001D4D14">
        <w:t xml:space="preserve">regions. However, exhaustive surveys are </w:t>
      </w:r>
      <w:r w:rsidR="0038707C">
        <w:t xml:space="preserve">not feasible </w:t>
      </w:r>
      <w:r w:rsidR="001D4D14">
        <w:t>here</w:t>
      </w:r>
      <w:r w:rsidR="0038707C">
        <w:t>, because d</w:t>
      </w:r>
      <w:r w:rsidR="001D4D14">
        <w:t>ata have not been gathered for too many of the languages. Our survey list was constrained not only in length but in composition. The lists were biased towards common</w:t>
      </w:r>
      <w:r w:rsidR="0038707C">
        <w:t>ly occurring</w:t>
      </w:r>
      <w:r w:rsidR="001D4D14">
        <w:t xml:space="preserve"> species in each region in order to increase the likelihood that terms would be recorded. </w:t>
      </w:r>
      <w:r w:rsidR="00322F38">
        <w:t xml:space="preserve">However, because </w:t>
      </w:r>
      <w:r w:rsidR="0038707C">
        <w:t>of this bias</w:t>
      </w:r>
      <w:r w:rsidR="00322F38">
        <w:t>, we are unable to test the interaction of relative abundance with etymological stability. It is possible that species of relatively high abundance may be more salient and therefore more etymologically stable. Conversely, it may be that rare species may be more highly prized, and thus f</w:t>
      </w:r>
      <w:r w:rsidR="00C9700D">
        <w:t>u</w:t>
      </w:r>
      <w:r w:rsidR="00322F38">
        <w:t>lf</w:t>
      </w:r>
      <w:r w:rsidR="00C9700D">
        <w:t>i</w:t>
      </w:r>
      <w:r w:rsidR="00322F38">
        <w:t>ll a special cultural niche. The ecologies of our survey regions vary internally and thus a general measure of abundance for each survey item for each area is not possible.</w:t>
      </w:r>
    </w:p>
    <w:p w:rsidR="00322F38" w:rsidRDefault="0038707C" w:rsidP="00986537">
      <w:pPr>
        <w:spacing w:line="480" w:lineRule="auto"/>
      </w:pPr>
      <w:r>
        <w:tab/>
      </w:r>
      <w:r w:rsidR="00322F38">
        <w:t>It is</w:t>
      </w:r>
      <w:r>
        <w:t xml:space="preserve"> </w:t>
      </w:r>
      <w:r w:rsidR="00322F38">
        <w:t>possible that loan</w:t>
      </w:r>
      <w:r>
        <w:t xml:space="preserve"> count</w:t>
      </w:r>
      <w:r w:rsidR="00322F38">
        <w:t xml:space="preserve">s may be higher in some </w:t>
      </w:r>
      <w:r>
        <w:t xml:space="preserve">languages </w:t>
      </w:r>
      <w:r w:rsidR="00322F38">
        <w:t xml:space="preserve">than in others because of the difficulty of identifying loans between closely related languages. The careful application of the comparative method should allow the identification of loanwords in many contexts, which would minimize this problem overall. However, it does mean that for any individual word, it may be difficult to tell in the absence of a diagnostic sound change whether an item is a loan or not. It may also potentially affect some </w:t>
      </w:r>
      <w:r>
        <w:t xml:space="preserve">language families </w:t>
      </w:r>
      <w:r w:rsidR="00322F38">
        <w:t>more severely than others</w:t>
      </w:r>
      <w:r w:rsidR="00F07118">
        <w:t xml:space="preserve">, depending on the amount of interaction that has taken place </w:t>
      </w:r>
      <w:r w:rsidR="006F03A0">
        <w:t>among</w:t>
      </w:r>
      <w:r w:rsidR="00F07118">
        <w:t xml:space="preserve"> related or unrelated languages, and because </w:t>
      </w:r>
      <w:r>
        <w:t xml:space="preserve">our ability to distinguish </w:t>
      </w:r>
      <w:r w:rsidR="00F07118">
        <w:t xml:space="preserve">family-internal loans </w:t>
      </w:r>
      <w:r w:rsidR="00F07118">
        <w:lastRenderedPageBreak/>
        <w:t>from cognates may depend on the amount of comparative data from sister-languages that is available.</w:t>
      </w:r>
    </w:p>
    <w:p w:rsidR="00322F38" w:rsidRDefault="00322F38" w:rsidP="00986537">
      <w:pPr>
        <w:spacing w:line="480" w:lineRule="auto"/>
      </w:pPr>
    </w:p>
    <w:p w:rsidR="00052640" w:rsidRDefault="00052640" w:rsidP="00986537">
      <w:pPr>
        <w:pStyle w:val="Heading1"/>
        <w:suppressAutoHyphens w:val="0"/>
        <w:autoSpaceDE w:val="0"/>
        <w:adjustRightInd w:val="0"/>
        <w:spacing w:line="480" w:lineRule="auto"/>
        <w:ind w:left="432" w:hanging="432"/>
        <w:textAlignment w:val="auto"/>
      </w:pPr>
      <w:r>
        <w:t>Conclusions</w:t>
      </w:r>
    </w:p>
    <w:p w:rsidR="0005188C" w:rsidRDefault="0005188C" w:rsidP="00986537">
      <w:pPr>
        <w:spacing w:line="480" w:lineRule="auto"/>
      </w:pPr>
      <w:r>
        <w:tab/>
        <w:t>Our result</w:t>
      </w:r>
      <w:r w:rsidR="00C80BEA">
        <w:t>s support the</w:t>
      </w:r>
      <w:r w:rsidR="00704091">
        <w:t xml:space="preserve"> general</w:t>
      </w:r>
      <w:r w:rsidR="00C80BEA">
        <w:t xml:space="preserve"> notion that the stability of ethnobiological terms is associated with the cultural salience of </w:t>
      </w:r>
      <w:r w:rsidR="00704091">
        <w:t xml:space="preserve">their referents. However, the relationship between cultural importance and etymological stability is revealed to be quite complex through the comparison of </w:t>
      </w:r>
      <w:r w:rsidR="00BB5CD5">
        <w:t xml:space="preserve">flora-fauna </w:t>
      </w:r>
      <w:r w:rsidR="00E215D9">
        <w:t xml:space="preserve">vocabulary in </w:t>
      </w:r>
      <w:r w:rsidR="00704091">
        <w:t xml:space="preserve">hunter-gatherer and agriculturalist </w:t>
      </w:r>
      <w:r w:rsidR="0084664D">
        <w:t xml:space="preserve">languages and across </w:t>
      </w:r>
      <w:r w:rsidR="00E479CE">
        <w:t>categories of cultural use.</w:t>
      </w:r>
    </w:p>
    <w:p w:rsidR="00E479CE" w:rsidRDefault="00A00BC3" w:rsidP="00986537">
      <w:pPr>
        <w:spacing w:line="480" w:lineRule="auto"/>
      </w:pPr>
      <w:r>
        <w:tab/>
      </w:r>
      <w:r w:rsidR="00E53E83">
        <w:t xml:space="preserve">The etymological inheritance which we associate with stability is significantly more common in only a small number of the categories of flora and fauna </w:t>
      </w:r>
      <w:r w:rsidR="00DF2855">
        <w:t xml:space="preserve">that </w:t>
      </w:r>
      <w:r w:rsidR="00E53E83">
        <w:t xml:space="preserve">we might </w:t>
      </w:r>
      <w:r w:rsidR="00766A45">
        <w:t xml:space="preserve">otherwise </w:t>
      </w:r>
      <w:r w:rsidR="00E53E83">
        <w:t xml:space="preserve">expect to be culturally significant. </w:t>
      </w:r>
      <w:r w:rsidR="0062577D">
        <w:t xml:space="preserve">Overall, we find a tendency toward stability in eaten items, which </w:t>
      </w:r>
      <w:r w:rsidR="00020C86">
        <w:t>supports the link between survival uses, cultural importance, and lexical stability. Differences between hunter-gatherer and agriculturalist groups in the strength of the</w:t>
      </w:r>
      <w:r w:rsidR="002D2975">
        <w:t xml:space="preserve"> eaten-inherited relationship and the explanations required to understand stability of cultiva</w:t>
      </w:r>
      <w:r w:rsidR="0079413F">
        <w:t>ted flora</w:t>
      </w:r>
      <w:r w:rsidR="002D2975">
        <w:t xml:space="preserve"> terms </w:t>
      </w:r>
      <w:r w:rsidR="008B508D">
        <w:t xml:space="preserve">point to the complex interplay between language, culture, and history </w:t>
      </w:r>
      <w:r w:rsidR="001923E3">
        <w:t>in determining the stability of even the most frequently conserved flora-fauna terms</w:t>
      </w:r>
      <w:r w:rsidR="008B508D">
        <w:t>.</w:t>
      </w:r>
    </w:p>
    <w:p w:rsidR="008B508D" w:rsidRDefault="00171851" w:rsidP="00986537">
      <w:pPr>
        <w:spacing w:line="480" w:lineRule="auto"/>
      </w:pPr>
      <w:r>
        <w:tab/>
        <w:t>The association of several categories of cultural significance with a greater likelihood of lexical borrowing</w:t>
      </w:r>
      <w:r w:rsidR="001923E3">
        <w:t xml:space="preserve"> show the flip side of the cultural salience-stability link. </w:t>
      </w:r>
      <w:r w:rsidR="00552409">
        <w:t xml:space="preserve">Under certain historical and </w:t>
      </w:r>
      <w:r w:rsidR="00726919">
        <w:t>social conditions, cultural salience promot</w:t>
      </w:r>
      <w:r w:rsidR="00AC7EE6">
        <w:t xml:space="preserve">es instability. This pattern is illustrated by the contrast between items that are traded and psychotropic items. </w:t>
      </w:r>
      <w:r w:rsidR="00AC7EE6">
        <w:lastRenderedPageBreak/>
        <w:t xml:space="preserve">Whereas </w:t>
      </w:r>
      <w:r w:rsidR="000C14A8">
        <w:t>trade alone</w:t>
      </w:r>
      <w:r w:rsidR="00381D73">
        <w:t xml:space="preserve"> </w:t>
      </w:r>
      <w:r w:rsidR="000C14A8">
        <w:t xml:space="preserve">does not appear to predispose </w:t>
      </w:r>
      <w:r w:rsidR="00381D73">
        <w:t>lexical items to loanhood, the combination of cultural diffusion and ritual use of psychotropic substance makes those items more likely to be loaned in both hunter-gatherer a</w:t>
      </w:r>
      <w:r w:rsidR="009B02E6">
        <w:t>nd agriculturalist languages. We must conclude that the cultural importance of these items, perhaps in combination wit</w:t>
      </w:r>
      <w:r w:rsidR="00153A81">
        <w:t>h trade, increases the loan likelihood in this case.</w:t>
      </w:r>
    </w:p>
    <w:p w:rsidR="0065720E" w:rsidRDefault="008A611C" w:rsidP="00986537">
      <w:pPr>
        <w:spacing w:line="480" w:lineRule="auto"/>
      </w:pPr>
      <w:r>
        <w:tab/>
        <w:t>Lexical stability in ethnobiological terminology is a multifaceted phenomenon. Cultural salience</w:t>
      </w:r>
      <w:r w:rsidR="000B0F35">
        <w:t xml:space="preserve"> is an important determiner of flora and fauna term stability, but the gradient scales of importance that have</w:t>
      </w:r>
      <w:r w:rsidR="00F911BD">
        <w:t xml:space="preserve"> </w:t>
      </w:r>
      <w:r w:rsidR="00F97750">
        <w:t>traditionally been used to characterize it (for example</w:t>
      </w:r>
      <w:r w:rsidR="000B0F35">
        <w:t xml:space="preserve"> </w:t>
      </w:r>
      <w:r w:rsidR="00F97750">
        <w:t>by Berlin et al. 1973 and Turner 1988)</w:t>
      </w:r>
      <w:r w:rsidR="00FE72A8">
        <w:t xml:space="preserve"> are not able to capture its variable association with inheritance or loanhood. </w:t>
      </w:r>
      <w:r w:rsidR="00AE1B40">
        <w:t>For salient items, particularly those whose use is peripheral to eating and basic survival, cultural and historical context c</w:t>
      </w:r>
      <w:r w:rsidR="00412623">
        <w:t>an affect etymological outcomes associated with cultural importance.</w:t>
      </w:r>
    </w:p>
    <w:p w:rsidR="00657426" w:rsidRDefault="00657426">
      <w:pPr>
        <w:widowControl/>
        <w:suppressAutoHyphens w:val="0"/>
        <w:autoSpaceDN/>
        <w:spacing w:after="200" w:line="276" w:lineRule="auto"/>
        <w:textAlignment w:val="auto"/>
      </w:pPr>
    </w:p>
    <w:p w:rsidR="00DF2855" w:rsidRDefault="00DF2855">
      <w:pPr>
        <w:widowControl/>
        <w:suppressAutoHyphens w:val="0"/>
        <w:autoSpaceDN/>
        <w:spacing w:after="200" w:line="276" w:lineRule="auto"/>
        <w:textAlignment w:val="auto"/>
        <w:sectPr w:rsidR="00DF2855" w:rsidSect="00367B50">
          <w:footerReference w:type="even" r:id="rId12"/>
          <w:footerReference w:type="default" r:id="rId13"/>
          <w:headerReference w:type="first" r:id="rId14"/>
          <w:endnotePr>
            <w:numFmt w:val="decimal"/>
          </w:endnotePr>
          <w:pgSz w:w="12240" w:h="15840"/>
          <w:pgMar w:top="1440" w:right="1440" w:bottom="1440" w:left="1440" w:header="720" w:footer="720" w:gutter="0"/>
          <w:cols w:space="720"/>
          <w:titlePg/>
          <w:docGrid w:linePitch="360"/>
        </w:sectPr>
      </w:pPr>
    </w:p>
    <w:p w:rsidR="00657426" w:rsidRDefault="00657426" w:rsidP="00657426">
      <w:pPr>
        <w:pStyle w:val="Heading1"/>
        <w:numPr>
          <w:ilvl w:val="0"/>
          <w:numId w:val="0"/>
        </w:numPr>
        <w:suppressAutoHyphens w:val="0"/>
        <w:autoSpaceDE w:val="0"/>
        <w:adjustRightInd w:val="0"/>
        <w:spacing w:line="480" w:lineRule="auto"/>
        <w:textAlignment w:val="auto"/>
      </w:pPr>
      <w:r>
        <w:lastRenderedPageBreak/>
        <w:t>Acknowledgements</w:t>
      </w:r>
    </w:p>
    <w:p w:rsidR="00657426" w:rsidRPr="00657426" w:rsidRDefault="00657426" w:rsidP="00657426">
      <w:pPr>
        <w:spacing w:line="480" w:lineRule="auto"/>
      </w:pPr>
      <w:r w:rsidRPr="00B71E0F">
        <w:t>This work was funded by NSF grant BCS-</w:t>
      </w:r>
      <w:r>
        <w:t>0</w:t>
      </w:r>
      <w:r w:rsidRPr="00B71E0F">
        <w:t xml:space="preserve">902114 </w:t>
      </w:r>
      <w:r>
        <w:t>“</w:t>
      </w:r>
      <w:r w:rsidRPr="00B71E0F">
        <w:t>Dynamics of Hunter-Gatherer Language Change</w:t>
      </w:r>
      <w:r>
        <w:t>”</w:t>
      </w:r>
      <w:r w:rsidRPr="00B71E0F">
        <w:t>.</w:t>
      </w:r>
    </w:p>
    <w:p w:rsidR="00052640" w:rsidRDefault="00052640" w:rsidP="00657426">
      <w:pPr>
        <w:pStyle w:val="Heading1"/>
        <w:numPr>
          <w:ilvl w:val="0"/>
          <w:numId w:val="0"/>
        </w:numPr>
        <w:suppressAutoHyphens w:val="0"/>
        <w:autoSpaceDE w:val="0"/>
        <w:adjustRightInd w:val="0"/>
        <w:spacing w:line="480" w:lineRule="auto"/>
        <w:textAlignment w:val="auto"/>
      </w:pPr>
      <w:r>
        <w:t>References Cited</w:t>
      </w:r>
    </w:p>
    <w:p w:rsidR="00233EC2" w:rsidRPr="00233EC2" w:rsidRDefault="00233EC2" w:rsidP="00986537">
      <w:pPr>
        <w:pStyle w:val="Bibliography"/>
        <w:spacing w:line="480" w:lineRule="auto"/>
      </w:pPr>
      <w:r w:rsidRPr="00233EC2">
        <w:br/>
        <w:t>Aikhenv</w:t>
      </w:r>
      <w:r w:rsidR="00367E84">
        <w:t>ald, Alexandra</w:t>
      </w:r>
      <w:r w:rsidRPr="00233EC2">
        <w:t xml:space="preserve"> </w:t>
      </w:r>
      <w:r w:rsidRPr="00233EC2">
        <w:br/>
        <w:t xml:space="preserve"> 1996</w:t>
      </w:r>
      <w:r w:rsidRPr="00233EC2">
        <w:tab/>
        <w:t>Areal Diffusion in Northwest Amazonia: The Case of Tariana. Anthropological Linguistics 38(1): 73–116.</w:t>
      </w:r>
    </w:p>
    <w:p w:rsidR="00233EC2" w:rsidRPr="00233EC2" w:rsidRDefault="00233EC2" w:rsidP="00986537">
      <w:pPr>
        <w:pStyle w:val="Bibliography"/>
        <w:spacing w:line="480" w:lineRule="auto"/>
      </w:pPr>
      <w:r w:rsidRPr="00233EC2">
        <w:br/>
        <w:t>Akerman, K., and J. Stanton</w:t>
      </w:r>
      <w:r w:rsidRPr="00233EC2">
        <w:br/>
        <w:t xml:space="preserve"> 1994</w:t>
      </w:r>
      <w:r w:rsidRPr="00233EC2">
        <w:tab/>
        <w:t>Riji and Jakuli: Kimberley Pearl Shell in Aboriginal Australia. Northern Territory Museum of Arts and Sciences.</w:t>
      </w:r>
    </w:p>
    <w:p w:rsidR="00233EC2" w:rsidRPr="00233EC2" w:rsidRDefault="00233EC2" w:rsidP="00986537">
      <w:pPr>
        <w:pStyle w:val="Bibliography"/>
        <w:spacing w:line="480" w:lineRule="auto"/>
      </w:pPr>
      <w:r w:rsidRPr="00233EC2">
        <w:br/>
        <w:t>Anderson, Kat</w:t>
      </w:r>
      <w:r w:rsidRPr="00233EC2">
        <w:br/>
        <w:t xml:space="preserve"> 2005</w:t>
      </w:r>
      <w:r w:rsidRPr="00233EC2">
        <w:tab/>
        <w:t xml:space="preserve">Tending the Wild: Native American Knowledge and the Management of California’s Natural Resources. Univ of California Press. </w:t>
      </w:r>
    </w:p>
    <w:p w:rsidR="00233EC2" w:rsidRPr="00233EC2" w:rsidRDefault="00233EC2" w:rsidP="00986537">
      <w:pPr>
        <w:pStyle w:val="Bibliography"/>
        <w:spacing w:line="480" w:lineRule="auto"/>
      </w:pPr>
      <w:r w:rsidRPr="00233EC2">
        <w:br/>
        <w:t>Atran, Scott</w:t>
      </w:r>
      <w:r w:rsidRPr="00233EC2">
        <w:br/>
        <w:t xml:space="preserve"> 1987</w:t>
      </w:r>
      <w:r w:rsidRPr="00233EC2">
        <w:tab/>
        <w:t>The Essence of Folkbiology: A Reply to Randall and Hunn. American Anthropologist 89(1): 149–151.</w:t>
      </w:r>
    </w:p>
    <w:p w:rsidR="00233EC2" w:rsidRPr="00233EC2" w:rsidRDefault="00233EC2" w:rsidP="00986537">
      <w:pPr>
        <w:pStyle w:val="Bibliography"/>
        <w:spacing w:line="480" w:lineRule="auto"/>
      </w:pPr>
      <w:r w:rsidRPr="00233EC2">
        <w:lastRenderedPageBreak/>
        <w:t xml:space="preserve"> 1998</w:t>
      </w:r>
      <w:r w:rsidRPr="00233EC2">
        <w:tab/>
        <w:t>Folk Biology and the Anthropology of Science: Cognitive Universals and Cultural Particulars. Behavioral and Brain Sciences 21(4): 547–569.</w:t>
      </w:r>
    </w:p>
    <w:p w:rsidR="00233EC2" w:rsidRPr="00233EC2" w:rsidRDefault="00233EC2" w:rsidP="00986537">
      <w:pPr>
        <w:pStyle w:val="Bibliography"/>
        <w:spacing w:line="480" w:lineRule="auto"/>
      </w:pPr>
      <w:r w:rsidRPr="00233EC2">
        <w:br/>
        <w:t>Bahuchet, Serge</w:t>
      </w:r>
      <w:r w:rsidRPr="00233EC2">
        <w:br/>
        <w:t xml:space="preserve"> 2012</w:t>
      </w:r>
      <w:r w:rsidRPr="00233EC2">
        <w:tab/>
        <w:t>Changing Language, Remaining Pygmy. Human Biology 84(1): 11–43.</w:t>
      </w:r>
    </w:p>
    <w:p w:rsidR="00233EC2" w:rsidRPr="00233EC2" w:rsidRDefault="00233EC2" w:rsidP="00986537">
      <w:pPr>
        <w:pStyle w:val="Bibliography"/>
        <w:spacing w:line="480" w:lineRule="auto"/>
      </w:pPr>
      <w:r w:rsidRPr="00233EC2">
        <w:br/>
        <w:t>Balée, W. L., and D. Moore</w:t>
      </w:r>
      <w:r w:rsidRPr="00233EC2">
        <w:br/>
        <w:t xml:space="preserve"> 1991</w:t>
      </w:r>
      <w:r w:rsidRPr="00233EC2">
        <w:tab/>
        <w:t>Similarity and Variation in Plant Names in Five Tupi-Guarani Languages (Eastern Amazonia). Bulletin: Florida Museum of Natural History 35(4): 209–262.</w:t>
      </w:r>
    </w:p>
    <w:p w:rsidR="00233EC2" w:rsidRPr="00233EC2" w:rsidRDefault="00233EC2" w:rsidP="00986537">
      <w:pPr>
        <w:pStyle w:val="Bibliography"/>
        <w:spacing w:line="480" w:lineRule="auto"/>
      </w:pPr>
      <w:r w:rsidRPr="00233EC2">
        <w:br/>
        <w:t>Balée, William</w:t>
      </w:r>
      <w:r w:rsidRPr="00233EC2">
        <w:br/>
        <w:t xml:space="preserve"> 2000</w:t>
      </w:r>
      <w:r w:rsidRPr="00233EC2">
        <w:tab/>
        <w:t>Antiquity of Traditional Ethnobiological Knowledge in Amazonia: The Tupí-Guaraní Family and Time. Ethnohistory 47(2): 399 –422.</w:t>
      </w:r>
    </w:p>
    <w:p w:rsidR="00233EC2" w:rsidRPr="00233EC2" w:rsidRDefault="00233EC2" w:rsidP="00986537">
      <w:pPr>
        <w:pStyle w:val="Bibliography"/>
        <w:spacing w:line="480" w:lineRule="auto"/>
      </w:pPr>
      <w:r w:rsidRPr="00233EC2">
        <w:t xml:space="preserve"> 2003</w:t>
      </w:r>
      <w:r w:rsidRPr="00233EC2">
        <w:tab/>
        <w:t>Historical-ecological Influences on the Word for Cacao in Ka’apor. Anthropological Linguistics 45: 259–280.</w:t>
      </w:r>
    </w:p>
    <w:p w:rsidR="00233EC2" w:rsidRPr="00233EC2" w:rsidRDefault="00233EC2" w:rsidP="00986537">
      <w:pPr>
        <w:pStyle w:val="Bibliography"/>
        <w:spacing w:line="480" w:lineRule="auto"/>
      </w:pPr>
      <w:r w:rsidRPr="00233EC2">
        <w:br/>
        <w:t>Berlin, Brent</w:t>
      </w:r>
      <w:r w:rsidRPr="00233EC2">
        <w:br/>
        <w:t xml:space="preserve"> 1973</w:t>
      </w:r>
      <w:r w:rsidRPr="00233EC2">
        <w:tab/>
        <w:t>Folk Systematics in Relation to Biological Classification and Nomenclature. Annual Review of Ecology and Systematics 4: 259–271.</w:t>
      </w:r>
    </w:p>
    <w:p w:rsidR="00233EC2" w:rsidRPr="00233EC2" w:rsidRDefault="00233EC2" w:rsidP="00986537">
      <w:pPr>
        <w:pStyle w:val="Bibliography"/>
        <w:spacing w:line="480" w:lineRule="auto"/>
      </w:pPr>
      <w:r w:rsidRPr="00233EC2">
        <w:t xml:space="preserve"> 1992</w:t>
      </w:r>
      <w:r w:rsidRPr="00233EC2">
        <w:tab/>
        <w:t>Principles of Ethnobiological Classification. Princeton University Press, Princeton.</w:t>
      </w:r>
    </w:p>
    <w:p w:rsidR="00233EC2" w:rsidRPr="00233EC2" w:rsidRDefault="00233EC2" w:rsidP="00986537">
      <w:pPr>
        <w:pStyle w:val="Bibliography"/>
        <w:spacing w:line="480" w:lineRule="auto"/>
      </w:pPr>
      <w:r w:rsidRPr="00233EC2">
        <w:br/>
        <w:t>Berlin, Brent, James S. Boster, and J.P. O’Neill</w:t>
      </w:r>
      <w:r w:rsidRPr="00233EC2">
        <w:br/>
        <w:t xml:space="preserve"> 1981</w:t>
      </w:r>
      <w:r w:rsidRPr="00233EC2">
        <w:tab/>
        <w:t xml:space="preserve">The Perceptual Basis of Ethnobiological Classification: Evidence from Aguaruna </w:t>
      </w:r>
      <w:r w:rsidRPr="00233EC2">
        <w:lastRenderedPageBreak/>
        <w:t>Jívaro Ornithology. Journal of Ethnobiology 1: 95–108.</w:t>
      </w:r>
    </w:p>
    <w:p w:rsidR="00233EC2" w:rsidRPr="00233EC2" w:rsidRDefault="00233EC2" w:rsidP="00986537">
      <w:pPr>
        <w:pStyle w:val="Bibliography"/>
        <w:spacing w:line="480" w:lineRule="auto"/>
      </w:pPr>
      <w:r w:rsidRPr="00233EC2">
        <w:br/>
        <w:t>Berlin, Brent, Dennis E. Breedlove, Robert Laughlin, and Peter H. Raven</w:t>
      </w:r>
      <w:r w:rsidRPr="00233EC2">
        <w:br/>
        <w:t xml:space="preserve"> 1973</w:t>
      </w:r>
      <w:r w:rsidRPr="00233EC2">
        <w:tab/>
        <w:t xml:space="preserve">Cultural Significance and Lexical Retention in Tzeltal-Tzotzil Ethnobotany. </w:t>
      </w:r>
      <w:r w:rsidRPr="00233EC2">
        <w:rPr>
          <w:i/>
          <w:iCs/>
        </w:rPr>
        <w:t>In</w:t>
      </w:r>
      <w:r w:rsidRPr="00233EC2">
        <w:t xml:space="preserve"> Meaning in Mayan Languages. S. Munro, ed. Pp. 143–164. The Hague: Mouton.</w:t>
      </w:r>
    </w:p>
    <w:p w:rsidR="00233EC2" w:rsidRPr="00233EC2" w:rsidRDefault="00233EC2" w:rsidP="00986537">
      <w:pPr>
        <w:pStyle w:val="Bibliography"/>
        <w:spacing w:line="480" w:lineRule="auto"/>
      </w:pPr>
      <w:r w:rsidRPr="00233EC2">
        <w:br/>
        <w:t>Berlin, Brent, Dennis E. Breedlove, and Peter H. Raven</w:t>
      </w:r>
      <w:r w:rsidRPr="00233EC2">
        <w:br/>
        <w:t xml:space="preserve"> 1973</w:t>
      </w:r>
      <w:r w:rsidRPr="00233EC2">
        <w:tab/>
        <w:t>General Principles of Classification and Nomenclature in Folk Biology. American Anthropologist 75(1). New Series: 214–242.</w:t>
      </w:r>
    </w:p>
    <w:p w:rsidR="00233EC2" w:rsidRPr="00233EC2" w:rsidRDefault="00233EC2" w:rsidP="00986537">
      <w:pPr>
        <w:pStyle w:val="Bibliography"/>
        <w:spacing w:line="480" w:lineRule="auto"/>
      </w:pPr>
      <w:r w:rsidRPr="00233EC2">
        <w:br/>
        <w:t>Boster, James, Brent Berlin, and John O’Neill</w:t>
      </w:r>
      <w:r w:rsidRPr="00233EC2">
        <w:br/>
        <w:t xml:space="preserve"> 1986</w:t>
      </w:r>
      <w:r w:rsidRPr="00233EC2">
        <w:tab/>
        <w:t>The Correspondence of Jivaroan to Scientific Ornithology. American Anthropologist 88(3): 569–583.</w:t>
      </w:r>
    </w:p>
    <w:p w:rsidR="00233EC2" w:rsidRPr="00233EC2" w:rsidRDefault="00233EC2" w:rsidP="00986537">
      <w:pPr>
        <w:pStyle w:val="Bibliography"/>
        <w:spacing w:line="480" w:lineRule="auto"/>
      </w:pPr>
      <w:r w:rsidRPr="00233EC2">
        <w:br/>
        <w:t>Bowern, Claire</w:t>
      </w:r>
      <w:r w:rsidRPr="00233EC2">
        <w:br/>
        <w:t xml:space="preserve"> 2007</w:t>
      </w:r>
      <w:r w:rsidRPr="00233EC2">
        <w:tab/>
        <w:t xml:space="preserve">On Eels, Dolphins, and Echidnas: Nyulnyulan Prehistory through the Reconstruction of Flora and Fauna. </w:t>
      </w:r>
      <w:r w:rsidRPr="00233EC2">
        <w:rPr>
          <w:i/>
          <w:iCs/>
        </w:rPr>
        <w:t>In</w:t>
      </w:r>
      <w:r w:rsidRPr="00233EC2">
        <w:t xml:space="preserve"> Verba Docenti: Studies in Historical and Indo-European Linguistics, Presented to Jay H. Jasanoff by Students, Colleagues, and Friends. Alan Nussbaum, ed. Pp. 39–53. Ann Arbor: Beechstave Press.</w:t>
      </w:r>
    </w:p>
    <w:p w:rsidR="00233EC2" w:rsidRPr="00233EC2" w:rsidRDefault="00233EC2" w:rsidP="00986537">
      <w:pPr>
        <w:pStyle w:val="Bibliography"/>
        <w:spacing w:line="480" w:lineRule="auto"/>
      </w:pPr>
      <w:r w:rsidRPr="00233EC2">
        <w:t xml:space="preserve"> 2012</w:t>
      </w:r>
      <w:r w:rsidRPr="00233EC2">
        <w:tab/>
        <w:t>A Grammar of Bardi. Berlin: Mouton De Gruyter.</w:t>
      </w:r>
    </w:p>
    <w:p w:rsidR="00233EC2" w:rsidRPr="00233EC2" w:rsidRDefault="00233EC2" w:rsidP="00986537">
      <w:pPr>
        <w:pStyle w:val="Bibliography"/>
        <w:spacing w:line="480" w:lineRule="auto"/>
      </w:pPr>
      <w:r w:rsidRPr="00233EC2">
        <w:br/>
        <w:t>Bowern, Claire, Patience Epps, Russell Gray, et al.</w:t>
      </w:r>
      <w:r w:rsidRPr="00233EC2">
        <w:br/>
        <w:t xml:space="preserve"> 2011</w:t>
      </w:r>
      <w:r w:rsidRPr="00233EC2">
        <w:tab/>
        <w:t xml:space="preserve">Does Lateral Transmission Obscure Inheritance in Hunter-Gatherer Languages? </w:t>
      </w:r>
      <w:r w:rsidRPr="00233EC2">
        <w:lastRenderedPageBreak/>
        <w:t>PLoS ONE 6(9): e25195.</w:t>
      </w:r>
    </w:p>
    <w:p w:rsidR="00233EC2" w:rsidRPr="00233EC2" w:rsidRDefault="00233EC2" w:rsidP="00986537">
      <w:pPr>
        <w:pStyle w:val="Bibliography"/>
        <w:spacing w:line="480" w:lineRule="auto"/>
      </w:pPr>
      <w:r w:rsidRPr="00233EC2">
        <w:br/>
        <w:t>Brown, C. H</w:t>
      </w:r>
      <w:r w:rsidRPr="00233EC2">
        <w:br/>
        <w:t xml:space="preserve"> 2000</w:t>
      </w:r>
      <w:r w:rsidRPr="00233EC2">
        <w:tab/>
        <w:t>Folk Classification: An Introduction. Ethnobotany: A Reader: 65–68.</w:t>
      </w:r>
    </w:p>
    <w:p w:rsidR="00233EC2" w:rsidRPr="00233EC2" w:rsidRDefault="00233EC2" w:rsidP="00986537">
      <w:pPr>
        <w:pStyle w:val="Bibliography"/>
        <w:spacing w:line="480" w:lineRule="auto"/>
      </w:pPr>
      <w:r w:rsidRPr="00233EC2">
        <w:br/>
        <w:t>Brown, C. H, E. N. Anderson Jr, R. Bulmer, et al.</w:t>
      </w:r>
      <w:r w:rsidRPr="00233EC2">
        <w:br/>
        <w:t xml:space="preserve"> 1985</w:t>
      </w:r>
      <w:r w:rsidRPr="00233EC2">
        <w:tab/>
        <w:t>Mode of Subsistence and Folk Biological Taxonomy [and Comments and Reply]. Current Anthropology 26(1): 43–64.</w:t>
      </w:r>
    </w:p>
    <w:p w:rsidR="00233EC2" w:rsidRPr="00233EC2" w:rsidRDefault="00233EC2" w:rsidP="00986537">
      <w:pPr>
        <w:pStyle w:val="Bibliography"/>
        <w:spacing w:line="480" w:lineRule="auto"/>
      </w:pPr>
      <w:r w:rsidRPr="00233EC2">
        <w:br/>
        <w:t>Brown, C. H, J. Kolar, B. J Torrey, and P. Volkman</w:t>
      </w:r>
      <w:r w:rsidRPr="00233EC2">
        <w:br/>
        <w:t xml:space="preserve"> 1976</w:t>
      </w:r>
      <w:r w:rsidRPr="00233EC2">
        <w:tab/>
        <w:t>Some General Principles of Biological and Non-biological Folk Classification. American Ethnologist 3(1): 73–85.</w:t>
      </w:r>
    </w:p>
    <w:p w:rsidR="00233EC2" w:rsidRPr="00233EC2" w:rsidRDefault="00233EC2" w:rsidP="00986537">
      <w:pPr>
        <w:pStyle w:val="Bibliography"/>
        <w:spacing w:line="480" w:lineRule="auto"/>
      </w:pPr>
      <w:r w:rsidRPr="00233EC2">
        <w:br/>
        <w:t>Brown, C. H.</w:t>
      </w:r>
      <w:r w:rsidRPr="00233EC2">
        <w:br/>
        <w:t xml:space="preserve"> 1984</w:t>
      </w:r>
      <w:r w:rsidRPr="00233EC2">
        <w:tab/>
        <w:t xml:space="preserve">Language and Living Things: Uniformities in Folk Classification and Naming. Rutgers University Press New Brunswick, NJ. </w:t>
      </w:r>
    </w:p>
    <w:p w:rsidR="00233EC2" w:rsidRPr="00233EC2" w:rsidRDefault="00233EC2" w:rsidP="00986537">
      <w:pPr>
        <w:pStyle w:val="Bibliography"/>
        <w:spacing w:line="480" w:lineRule="auto"/>
      </w:pPr>
      <w:r w:rsidRPr="00233EC2">
        <w:br/>
        <w:t>Brown, Cecil</w:t>
      </w:r>
      <w:r w:rsidRPr="00233EC2">
        <w:br/>
        <w:t xml:space="preserve"> 1999</w:t>
      </w:r>
      <w:r w:rsidRPr="00233EC2">
        <w:tab/>
        <w:t>Lexical Acculturation in Native American Languages. Oxford Studies in Anthropological Linguistics. Oxford: Oxford University Press.</w:t>
      </w:r>
    </w:p>
    <w:p w:rsidR="00233EC2" w:rsidRPr="00233EC2" w:rsidRDefault="00233EC2" w:rsidP="00986537">
      <w:pPr>
        <w:pStyle w:val="Bibliography"/>
        <w:spacing w:line="480" w:lineRule="auto"/>
      </w:pPr>
      <w:r w:rsidRPr="00233EC2">
        <w:br/>
        <w:t>Brown, Cecil H.</w:t>
      </w:r>
      <w:r w:rsidRPr="00233EC2">
        <w:br/>
        <w:t xml:space="preserve"> 2010</w:t>
      </w:r>
      <w:r w:rsidRPr="00233EC2">
        <w:tab/>
        <w:t xml:space="preserve">Development of Agriculture in Prehistoric Mesoamerica: The Linguistic Evidence. </w:t>
      </w:r>
      <w:r w:rsidRPr="00233EC2">
        <w:rPr>
          <w:i/>
          <w:iCs/>
        </w:rPr>
        <w:t>In</w:t>
      </w:r>
      <w:r w:rsidRPr="00233EC2">
        <w:t xml:space="preserve"> </w:t>
      </w:r>
      <w:r w:rsidRPr="00233EC2">
        <w:lastRenderedPageBreak/>
        <w:t xml:space="preserve">Pre-Columbian Foodways. John Staller and Michael Carrasco, eds. Pp. 71–107. Springer New York. </w:t>
      </w:r>
    </w:p>
    <w:p w:rsidR="00233EC2" w:rsidRPr="00233EC2" w:rsidRDefault="00233EC2" w:rsidP="00986537">
      <w:pPr>
        <w:pStyle w:val="Bibliography"/>
        <w:spacing w:line="480" w:lineRule="auto"/>
      </w:pPr>
      <w:r w:rsidRPr="00233EC2">
        <w:br/>
        <w:t>Brown, Cecil H., E. N. Anderson, Brent Berlin, et al.</w:t>
      </w:r>
      <w:r w:rsidRPr="00233EC2">
        <w:br/>
        <w:t xml:space="preserve"> 1986</w:t>
      </w:r>
      <w:r w:rsidRPr="00233EC2">
        <w:tab/>
        <w:t>The Growth of Ethnobiological Nomenclature [and Comments and Reply]. Current Anthropology 27(1): 1–19.</w:t>
      </w:r>
    </w:p>
    <w:p w:rsidR="00233EC2" w:rsidRPr="00233EC2" w:rsidRDefault="00233EC2" w:rsidP="00986537">
      <w:pPr>
        <w:pStyle w:val="Bibliography"/>
        <w:spacing w:line="480" w:lineRule="auto"/>
      </w:pPr>
      <w:r w:rsidRPr="00233EC2">
        <w:br/>
        <w:t>Burridge, Kate</w:t>
      </w:r>
      <w:r w:rsidRPr="00233EC2">
        <w:br/>
        <w:t xml:space="preserve"> 2012</w:t>
      </w:r>
      <w:r w:rsidRPr="00233EC2">
        <w:tab/>
        <w:t>Euphemism and Language Change: The Sixth and Seventh Ages. Lexis 7(Euphemism as a word-formation process): 65–92.</w:t>
      </w:r>
    </w:p>
    <w:p w:rsidR="00233EC2" w:rsidRPr="00233EC2" w:rsidRDefault="00233EC2" w:rsidP="00986537">
      <w:pPr>
        <w:pStyle w:val="Bibliography"/>
        <w:spacing w:line="480" w:lineRule="auto"/>
      </w:pPr>
      <w:r w:rsidRPr="00233EC2">
        <w:br/>
        <w:t>Chacon, Thiago</w:t>
      </w:r>
      <w:r w:rsidRPr="00233EC2">
        <w:br/>
        <w:t xml:space="preserve"> Forthcoming</w:t>
      </w:r>
      <w:r w:rsidRPr="00233EC2">
        <w:tab/>
        <w:t>A Revised Proposal of Proto-Tukanoan Consonant Reconstruction and Tukanoan Family Classification. International Journal of American Linguistics.</w:t>
      </w:r>
    </w:p>
    <w:p w:rsidR="00233EC2" w:rsidRPr="00233EC2" w:rsidRDefault="00233EC2" w:rsidP="00986537">
      <w:pPr>
        <w:pStyle w:val="Bibliography"/>
        <w:spacing w:line="480" w:lineRule="auto"/>
      </w:pPr>
      <w:r w:rsidRPr="00233EC2">
        <w:br/>
        <w:t>Dahl, Östen</w:t>
      </w:r>
      <w:r w:rsidRPr="00233EC2">
        <w:br/>
        <w:t xml:space="preserve"> 2011</w:t>
      </w:r>
      <w:r w:rsidRPr="00233EC2">
        <w:tab/>
        <w:t xml:space="preserve">Tea. </w:t>
      </w:r>
      <w:r w:rsidRPr="00233EC2">
        <w:rPr>
          <w:i/>
          <w:iCs/>
        </w:rPr>
        <w:t>In</w:t>
      </w:r>
      <w:r w:rsidRPr="00233EC2">
        <w:t xml:space="preserve"> The World Atlas of Language Structures Online. Matthew S. Dryer and Martin Haspelmath, eds. wals.info/chapter/138, accessed April 23, 2013.</w:t>
      </w:r>
    </w:p>
    <w:p w:rsidR="00233EC2" w:rsidRPr="00233EC2" w:rsidRDefault="00233EC2" w:rsidP="00986537">
      <w:pPr>
        <w:pStyle w:val="Bibliography"/>
        <w:spacing w:line="480" w:lineRule="auto"/>
      </w:pPr>
      <w:r w:rsidRPr="00233EC2">
        <w:br/>
        <w:t>Donohue, Mark, and Tim Denham</w:t>
      </w:r>
      <w:r w:rsidRPr="00233EC2">
        <w:br/>
        <w:t xml:space="preserve"> 2009</w:t>
      </w:r>
      <w:r w:rsidRPr="00233EC2">
        <w:tab/>
        <w:t>Banana (Musa Spp.) Domestication in the Asia-Pacific Region: Linguistic and Archaeobotanical Perspectives. http://scholarspace.manoa.hawaii.edu/handle/10125/12521, accessed May 24, 2013.</w:t>
      </w:r>
    </w:p>
    <w:p w:rsidR="00233EC2" w:rsidRPr="00233EC2" w:rsidRDefault="00233EC2" w:rsidP="00986537">
      <w:pPr>
        <w:pStyle w:val="Bibliography"/>
        <w:spacing w:line="480" w:lineRule="auto"/>
      </w:pPr>
      <w:r w:rsidRPr="00233EC2">
        <w:lastRenderedPageBreak/>
        <w:br/>
        <w:t>Ehret, Christopher</w:t>
      </w:r>
      <w:r w:rsidRPr="00233EC2">
        <w:br/>
        <w:t xml:space="preserve"> 2011</w:t>
      </w:r>
      <w:r w:rsidRPr="00233EC2">
        <w:tab/>
        <w:t>History and the Testimony of Language. University of California Press.</w:t>
      </w:r>
    </w:p>
    <w:p w:rsidR="00233EC2" w:rsidRPr="00233EC2" w:rsidRDefault="00233EC2" w:rsidP="00986537">
      <w:pPr>
        <w:pStyle w:val="Bibliography"/>
        <w:spacing w:line="480" w:lineRule="auto"/>
      </w:pPr>
      <w:r w:rsidRPr="00233EC2">
        <w:br/>
        <w:t>Emeneau, M. B.</w:t>
      </w:r>
      <w:r w:rsidRPr="00233EC2">
        <w:br/>
        <w:t xml:space="preserve"> 1948</w:t>
      </w:r>
      <w:r w:rsidRPr="00233EC2">
        <w:tab/>
        <w:t>Taboos on Animal Names. Language 24(1): 56–63.</w:t>
      </w:r>
    </w:p>
    <w:p w:rsidR="00233EC2" w:rsidRPr="00233EC2" w:rsidRDefault="00233EC2" w:rsidP="00986537">
      <w:pPr>
        <w:pStyle w:val="Bibliography"/>
        <w:spacing w:line="480" w:lineRule="auto"/>
      </w:pPr>
      <w:r w:rsidRPr="00233EC2">
        <w:br/>
        <w:t>Epps, Patience</w:t>
      </w:r>
      <w:r w:rsidRPr="00233EC2">
        <w:br/>
        <w:t xml:space="preserve"> forthcoming</w:t>
      </w:r>
      <w:r w:rsidRPr="00233EC2">
        <w:tab/>
        <w:t xml:space="preserve">Language and Subsistence Patterns in the Amazonian Vaupés. </w:t>
      </w:r>
      <w:r w:rsidRPr="00233EC2">
        <w:rPr>
          <w:i/>
          <w:iCs/>
        </w:rPr>
        <w:t>In</w:t>
      </w:r>
      <w:r w:rsidRPr="00233EC2">
        <w:t xml:space="preserve"> The Languages of Hunter-gatherers: Global and Historical Perspectives. Tom Güldemann, Patrick McConvell, and Richard Rhodes, eds. Cambridge: Cambridge University Press.</w:t>
      </w:r>
    </w:p>
    <w:p w:rsidR="00233EC2" w:rsidRPr="00233EC2" w:rsidRDefault="00233EC2" w:rsidP="00986537">
      <w:pPr>
        <w:pStyle w:val="Bibliography"/>
        <w:spacing w:line="480" w:lineRule="auto"/>
      </w:pPr>
      <w:r w:rsidRPr="00233EC2">
        <w:t xml:space="preserve"> 2009</w:t>
      </w:r>
      <w:r w:rsidRPr="00233EC2">
        <w:tab/>
        <w:t>Language Classification, Language Contact, and Amazonian Prehistory. Language and Linguistics Compass 3(2): 581–606.</w:t>
      </w:r>
    </w:p>
    <w:p w:rsidR="00233EC2" w:rsidRPr="00233EC2" w:rsidRDefault="00233EC2" w:rsidP="00986537">
      <w:pPr>
        <w:pStyle w:val="Bibliography"/>
        <w:spacing w:line="480" w:lineRule="auto"/>
      </w:pPr>
      <w:r w:rsidRPr="00233EC2">
        <w:br/>
        <w:t>Fleck, David W., and Robert S. Voss</w:t>
      </w:r>
      <w:r w:rsidRPr="00233EC2">
        <w:br/>
        <w:t xml:space="preserve"> 2006</w:t>
      </w:r>
      <w:r w:rsidRPr="00233EC2">
        <w:tab/>
        <w:t>On the Origin and Cultural Significance of Unusually Large Synonym Sets in Some Panoan Languages of Western Amazonia. Anthropological Linguistics 48(4): 335–368.</w:t>
      </w:r>
    </w:p>
    <w:p w:rsidR="00233EC2" w:rsidRPr="00233EC2" w:rsidRDefault="00233EC2" w:rsidP="00986537">
      <w:pPr>
        <w:pStyle w:val="Bibliography"/>
        <w:spacing w:line="480" w:lineRule="auto"/>
      </w:pPr>
      <w:r w:rsidRPr="00233EC2">
        <w:br/>
        <w:t>Fowler, Catherine Louise Sweeney, and Nancy Turner</w:t>
      </w:r>
      <w:r w:rsidRPr="00233EC2">
        <w:br/>
        <w:t xml:space="preserve"> 1999</w:t>
      </w:r>
      <w:r w:rsidRPr="00233EC2">
        <w:tab/>
        <w:t xml:space="preserve">Ecological/ Cosmological Knowledge and Land Management Among Hunter-gatherers. </w:t>
      </w:r>
      <w:r w:rsidRPr="00233EC2">
        <w:rPr>
          <w:i/>
          <w:iCs/>
        </w:rPr>
        <w:t>In</w:t>
      </w:r>
      <w:r w:rsidRPr="00233EC2">
        <w:t xml:space="preserve"> Cambridge Encyclopedia of Hunters and Gatherers. Richard B. Lee and Richard Daly, eds. Pp. 419–425. Cambridge: Cambridge University Press.</w:t>
      </w:r>
    </w:p>
    <w:p w:rsidR="00233EC2" w:rsidRPr="00233EC2" w:rsidRDefault="00233EC2" w:rsidP="00986537">
      <w:pPr>
        <w:pStyle w:val="Bibliography"/>
        <w:spacing w:line="480" w:lineRule="auto"/>
      </w:pPr>
      <w:r w:rsidRPr="00233EC2">
        <w:br/>
      </w:r>
      <w:r w:rsidRPr="00233EC2">
        <w:lastRenderedPageBreak/>
        <w:t>Haspelmath, Martin, and Uri Tadmor</w:t>
      </w:r>
      <w:r w:rsidRPr="00233EC2">
        <w:br/>
        <w:t xml:space="preserve"> 2009</w:t>
      </w:r>
      <w:r w:rsidRPr="00233EC2">
        <w:tab/>
        <w:t>Loanwords in the World’s Languages: A Comparative Handbook. Berlin: Mouton de Gruyter.</w:t>
      </w:r>
    </w:p>
    <w:p w:rsidR="00233EC2" w:rsidRPr="00233EC2" w:rsidRDefault="00233EC2" w:rsidP="00986537">
      <w:pPr>
        <w:pStyle w:val="Bibliography"/>
        <w:spacing w:line="480" w:lineRule="auto"/>
      </w:pPr>
      <w:r w:rsidRPr="00233EC2">
        <w:br/>
        <w:t>Hill, Jane</w:t>
      </w:r>
      <w:r w:rsidRPr="00233EC2">
        <w:br/>
        <w:t xml:space="preserve"> 2011</w:t>
      </w:r>
      <w:r w:rsidRPr="00233EC2">
        <w:tab/>
        <w:t xml:space="preserve">Borrowed Names and Indexical Function in the Northern Uto-Aztecan Botanical Lexicon. </w:t>
      </w:r>
      <w:r w:rsidRPr="00233EC2">
        <w:rPr>
          <w:i/>
          <w:iCs/>
        </w:rPr>
        <w:t>In</w:t>
      </w:r>
      <w:r w:rsidRPr="00233EC2">
        <w:t xml:space="preserve"> Information and Its Role in Hunter-Gatherer Bands. Robert Whallon, William A. Lovis, and Robert K. Hitchcock, eds. Pp. 167–180. Los Angeles: Cotsen Institute of Archaeology Press.</w:t>
      </w:r>
    </w:p>
    <w:p w:rsidR="00233EC2" w:rsidRPr="00233EC2" w:rsidRDefault="00233EC2" w:rsidP="00986537">
      <w:pPr>
        <w:pStyle w:val="Bibliography"/>
        <w:spacing w:line="480" w:lineRule="auto"/>
      </w:pPr>
      <w:r w:rsidRPr="00233EC2">
        <w:br/>
        <w:t>Hock, Hans Henrich, and Brian D Joseph</w:t>
      </w:r>
      <w:r w:rsidRPr="00233EC2">
        <w:br/>
        <w:t xml:space="preserve"> 1996</w:t>
      </w:r>
      <w:r w:rsidRPr="00233EC2">
        <w:tab/>
        <w:t>Language History, Language Change, and Language Relationship: An Introduction to Historical and Comparative Linguistics. Berlin: Mouton.</w:t>
      </w:r>
    </w:p>
    <w:p w:rsidR="00233EC2" w:rsidRPr="00233EC2" w:rsidRDefault="00233EC2" w:rsidP="00986537">
      <w:pPr>
        <w:pStyle w:val="Bibliography"/>
        <w:spacing w:line="480" w:lineRule="auto"/>
      </w:pPr>
      <w:r w:rsidRPr="00233EC2">
        <w:br/>
        <w:t>Hunn, Eugene</w:t>
      </w:r>
      <w:r w:rsidRPr="00233EC2">
        <w:br/>
        <w:t xml:space="preserve"> 1982</w:t>
      </w:r>
      <w:r w:rsidRPr="00233EC2">
        <w:tab/>
        <w:t>The Utilitarian Factor in Folk Biological Classification. American Anthropologist 84(4): 830–847.</w:t>
      </w:r>
    </w:p>
    <w:p w:rsidR="00233EC2" w:rsidRPr="00233EC2" w:rsidRDefault="00233EC2" w:rsidP="00986537">
      <w:pPr>
        <w:pStyle w:val="Bibliography"/>
        <w:spacing w:line="480" w:lineRule="auto"/>
      </w:pPr>
      <w:r w:rsidRPr="00233EC2">
        <w:br/>
        <w:t>Johnston, T. Harvey, and J. Burton Cleland</w:t>
      </w:r>
      <w:r w:rsidRPr="00233EC2">
        <w:br/>
        <w:t xml:space="preserve"> 1933</w:t>
      </w:r>
      <w:r w:rsidRPr="00233EC2">
        <w:tab/>
        <w:t>The History of the Aboriginal Narcotic, Pituri. Oceania 4(2): 201–223.</w:t>
      </w:r>
    </w:p>
    <w:p w:rsidR="00233EC2" w:rsidRPr="00233EC2" w:rsidRDefault="00233EC2" w:rsidP="00986537">
      <w:pPr>
        <w:pStyle w:val="Bibliography"/>
        <w:spacing w:line="480" w:lineRule="auto"/>
      </w:pPr>
      <w:r w:rsidRPr="00233EC2">
        <w:br/>
        <w:t>Lee, Richard Borshay</w:t>
      </w:r>
      <w:r w:rsidRPr="00233EC2">
        <w:br/>
        <w:t xml:space="preserve"> 1979</w:t>
      </w:r>
      <w:r w:rsidRPr="00233EC2">
        <w:tab/>
        <w:t xml:space="preserve">The !Kung San: Men, Women, and Work in a Foraging Society. Cambridge: Cambridge </w:t>
      </w:r>
      <w:r w:rsidRPr="00233EC2">
        <w:lastRenderedPageBreak/>
        <w:t>University Press.</w:t>
      </w:r>
    </w:p>
    <w:p w:rsidR="00233EC2" w:rsidRPr="00233EC2" w:rsidRDefault="00233EC2" w:rsidP="00986537">
      <w:pPr>
        <w:pStyle w:val="Bibliography"/>
        <w:spacing w:line="480" w:lineRule="auto"/>
      </w:pPr>
      <w:r w:rsidRPr="00233EC2">
        <w:br/>
        <w:t>Lightfoot, Kent G., and Otis Parrish</w:t>
      </w:r>
      <w:r w:rsidRPr="00233EC2">
        <w:br/>
        <w:t xml:space="preserve"> 2009</w:t>
      </w:r>
      <w:r w:rsidRPr="00233EC2">
        <w:tab/>
        <w:t>California Indians and Their Environment: An Introduction, vo</w:t>
      </w:r>
      <w:r w:rsidR="00367E84">
        <w:t>l.96. Univ of California Press.</w:t>
      </w:r>
    </w:p>
    <w:p w:rsidR="00233EC2" w:rsidRPr="00233EC2" w:rsidRDefault="00233EC2" w:rsidP="00986537">
      <w:pPr>
        <w:pStyle w:val="Bibliography"/>
        <w:spacing w:line="480" w:lineRule="auto"/>
      </w:pPr>
      <w:r w:rsidRPr="00233EC2">
        <w:br/>
        <w:t>Maffi, Luisa</w:t>
      </w:r>
      <w:r w:rsidRPr="00233EC2">
        <w:br/>
        <w:t xml:space="preserve"> 2005</w:t>
      </w:r>
      <w:r w:rsidRPr="00233EC2">
        <w:tab/>
        <w:t>Linguistic, Cultural, and Biological Diversity. Annual 29: 599–617.</w:t>
      </w:r>
    </w:p>
    <w:p w:rsidR="00233EC2" w:rsidRPr="00233EC2" w:rsidRDefault="00233EC2" w:rsidP="00986537">
      <w:pPr>
        <w:pStyle w:val="Bibliography"/>
        <w:spacing w:line="480" w:lineRule="auto"/>
      </w:pPr>
      <w:r w:rsidRPr="00233EC2">
        <w:br/>
        <w:t>McConvell, Patrick</w:t>
      </w:r>
      <w:r w:rsidRPr="00233EC2">
        <w:br/>
        <w:t xml:space="preserve"> 1997</w:t>
      </w:r>
      <w:r w:rsidRPr="00233EC2">
        <w:tab/>
        <w:t xml:space="preserve">Semantic Shifts Between Fish and Meat and the Prehistory of Pama-Nyungan. </w:t>
      </w:r>
      <w:r w:rsidRPr="00233EC2">
        <w:rPr>
          <w:i/>
          <w:iCs/>
        </w:rPr>
        <w:t>In</w:t>
      </w:r>
      <w:r w:rsidRPr="00233EC2">
        <w:t xml:space="preserve"> Boundary Rider: Essays in Honour of Geoffrey O’Grady. Darrell Tryon and Michael Walsh, eds. Pp. 303–325. Pacific Linguistics, C-136. Canberra: Pacific Linguistics, Research School of Pacific and Asian Studies, Australian National University.</w:t>
      </w:r>
    </w:p>
    <w:p w:rsidR="00233EC2" w:rsidRPr="00233EC2" w:rsidRDefault="00233EC2" w:rsidP="00986537">
      <w:pPr>
        <w:pStyle w:val="Bibliography"/>
        <w:spacing w:line="480" w:lineRule="auto"/>
      </w:pPr>
      <w:r w:rsidRPr="00233EC2">
        <w:t xml:space="preserve"> 2009</w:t>
      </w:r>
      <w:r w:rsidRPr="00233EC2">
        <w:tab/>
        <w:t xml:space="preserve">Loanwords in Gurindji. </w:t>
      </w:r>
      <w:r w:rsidRPr="00233EC2">
        <w:rPr>
          <w:i/>
          <w:iCs/>
        </w:rPr>
        <w:t>In</w:t>
      </w:r>
      <w:r w:rsidRPr="00233EC2">
        <w:t xml:space="preserve"> Loanwords in the World’s Languages: A Comparative Handbook. Martin Haspelmath and Uri Tadmor, eds. Pp. 790–822. the Hague: Mouton.</w:t>
      </w:r>
    </w:p>
    <w:p w:rsidR="00233EC2" w:rsidRPr="00233EC2" w:rsidRDefault="00233EC2" w:rsidP="00986537">
      <w:pPr>
        <w:pStyle w:val="Bibliography"/>
        <w:spacing w:line="480" w:lineRule="auto"/>
      </w:pPr>
      <w:r w:rsidRPr="00233EC2">
        <w:br/>
        <w:t>Medin, Douglas, and Scott Atran</w:t>
      </w:r>
      <w:r w:rsidRPr="00233EC2">
        <w:br/>
        <w:t xml:space="preserve"> 1999</w:t>
      </w:r>
      <w:r w:rsidRPr="00233EC2">
        <w:tab/>
        <w:t xml:space="preserve">Folkbiology. </w:t>
      </w:r>
      <w:r w:rsidR="00367E84">
        <w:t xml:space="preserve">Cambridge: </w:t>
      </w:r>
      <w:r w:rsidRPr="00233EC2">
        <w:t xml:space="preserve">MIT Press. </w:t>
      </w:r>
    </w:p>
    <w:p w:rsidR="00233EC2" w:rsidRPr="00233EC2" w:rsidRDefault="00233EC2" w:rsidP="00986537">
      <w:pPr>
        <w:pStyle w:val="Bibliography"/>
        <w:spacing w:line="480" w:lineRule="auto"/>
      </w:pPr>
      <w:r w:rsidRPr="00233EC2">
        <w:br/>
        <w:t>Nabhan, G.P., and S. St Antoine</w:t>
      </w:r>
      <w:r w:rsidRPr="00233EC2">
        <w:br/>
        <w:t xml:space="preserve"> 1993</w:t>
      </w:r>
      <w:r w:rsidRPr="00233EC2">
        <w:tab/>
        <w:t xml:space="preserve">The Loss of Floral and Faunal Story: The Extinction of Experience. </w:t>
      </w:r>
      <w:r w:rsidRPr="00233EC2">
        <w:rPr>
          <w:i/>
          <w:iCs/>
        </w:rPr>
        <w:t>In</w:t>
      </w:r>
      <w:r w:rsidRPr="00233EC2">
        <w:t xml:space="preserve"> The Biophilia Hypothesis. Stephen R. Kellert and Edward O. Wilson, eds. Pp. 229–250. Island Press.</w:t>
      </w:r>
    </w:p>
    <w:p w:rsidR="00233EC2" w:rsidRPr="00233EC2" w:rsidRDefault="00233EC2" w:rsidP="00986537">
      <w:pPr>
        <w:pStyle w:val="Bibliography"/>
        <w:spacing w:line="480" w:lineRule="auto"/>
      </w:pPr>
      <w:r w:rsidRPr="00233EC2">
        <w:lastRenderedPageBreak/>
        <w:br/>
        <w:t>Peterson, Jean Treloggen</w:t>
      </w:r>
      <w:r w:rsidRPr="00233EC2">
        <w:br/>
        <w:t xml:space="preserve"> 1978</w:t>
      </w:r>
      <w:r w:rsidRPr="00233EC2">
        <w:tab/>
        <w:t>Hunter‐Gatherer/Farmer Exchange. American Anthropologist 80(2): 335–351.</w:t>
      </w:r>
    </w:p>
    <w:p w:rsidR="00233EC2" w:rsidRPr="00233EC2" w:rsidRDefault="00233EC2" w:rsidP="00986537">
      <w:pPr>
        <w:pStyle w:val="Bibliography"/>
        <w:spacing w:line="480" w:lineRule="auto"/>
      </w:pPr>
      <w:r w:rsidRPr="00233EC2">
        <w:br/>
        <w:t>Pinheiro, Jose, Douglas Bates, Saikat DebRoy, and Deepayan Sarkar</w:t>
      </w:r>
      <w:r w:rsidRPr="00233EC2">
        <w:br/>
        <w:t xml:space="preserve"> 2012</w:t>
      </w:r>
      <w:r w:rsidRPr="00233EC2">
        <w:tab/>
        <w:t>Nlme: Linear and Nonlinear Mixed   Effects Models. R package version 3.1-105.</w:t>
      </w:r>
    </w:p>
    <w:p w:rsidR="00233EC2" w:rsidRPr="00233EC2" w:rsidRDefault="00233EC2" w:rsidP="00986537">
      <w:pPr>
        <w:pStyle w:val="Bibliography"/>
        <w:spacing w:line="480" w:lineRule="auto"/>
      </w:pPr>
      <w:r w:rsidRPr="00233EC2">
        <w:br/>
        <w:t>Politis, Gustavo</w:t>
      </w:r>
      <w:r w:rsidRPr="00233EC2">
        <w:br/>
        <w:t xml:space="preserve"> 2007</w:t>
      </w:r>
      <w:r w:rsidRPr="00233EC2">
        <w:tab/>
        <w:t>Nukak: Ethnoarchaeology of an Amazonian People. Benjamin Alberto, tran. illustrated edition. Walnut Creek, CA: Left Coast Press.</w:t>
      </w:r>
    </w:p>
    <w:p w:rsidR="00233EC2" w:rsidRPr="00233EC2" w:rsidRDefault="00233EC2" w:rsidP="00986537">
      <w:pPr>
        <w:pStyle w:val="Bibliography"/>
        <w:spacing w:line="480" w:lineRule="auto"/>
      </w:pPr>
      <w:r w:rsidRPr="00233EC2">
        <w:br/>
        <w:t>Rice, Keren</w:t>
      </w:r>
      <w:r w:rsidRPr="00233EC2">
        <w:br/>
        <w:t xml:space="preserve"> 2004</w:t>
      </w:r>
      <w:r w:rsidRPr="00233EC2">
        <w:tab/>
        <w:t>Language Contact, Phonemic Inventories, and the Athapaskan Language Family. Linguistic Typology 8(3): 321–343.</w:t>
      </w:r>
    </w:p>
    <w:p w:rsidR="00233EC2" w:rsidRPr="00233EC2" w:rsidRDefault="00233EC2" w:rsidP="00986537">
      <w:pPr>
        <w:pStyle w:val="Bibliography"/>
        <w:spacing w:line="480" w:lineRule="auto"/>
      </w:pPr>
      <w:r w:rsidRPr="00233EC2">
        <w:br/>
        <w:t>Roberts, Seán, and James Winters</w:t>
      </w:r>
      <w:r w:rsidRPr="00233EC2">
        <w:br/>
        <w:t xml:space="preserve"> 2012</w:t>
      </w:r>
      <w:r w:rsidRPr="00233EC2">
        <w:tab/>
        <w:t>Social Structure and Language Structure: The New Nomothetic Approach. Psychology of Language and Communication 16(2): 89–112.</w:t>
      </w:r>
    </w:p>
    <w:p w:rsidR="00233EC2" w:rsidRPr="00233EC2" w:rsidRDefault="00233EC2" w:rsidP="00986537">
      <w:pPr>
        <w:pStyle w:val="Bibliography"/>
        <w:spacing w:line="480" w:lineRule="auto"/>
      </w:pPr>
      <w:r w:rsidRPr="00233EC2">
        <w:br/>
        <w:t>Seifart, Frank</w:t>
      </w:r>
      <w:r w:rsidRPr="00233EC2">
        <w:br/>
        <w:t xml:space="preserve"> 2011</w:t>
      </w:r>
      <w:r w:rsidRPr="00233EC2">
        <w:tab/>
        <w:t>Bora Loans in Resígaro: Massive Morphological and Little Lexical Borrowing in a Moribund Arawakan Language., vol.2. Cadernos de Etnolinguistica, Série Monografias. Etnolingüística. http://www.etnolinguistica.org/mono:2.</w:t>
      </w:r>
      <w:r w:rsidR="00367E84">
        <w:t xml:space="preserve"> Accessed August 10, 2013</w:t>
      </w:r>
    </w:p>
    <w:p w:rsidR="00233EC2" w:rsidRPr="00233EC2" w:rsidRDefault="00233EC2" w:rsidP="00986537">
      <w:pPr>
        <w:pStyle w:val="Bibliography"/>
        <w:spacing w:line="480" w:lineRule="auto"/>
      </w:pPr>
      <w:r w:rsidRPr="00233EC2">
        <w:lastRenderedPageBreak/>
        <w:br/>
        <w:t>Sherratt, A.</w:t>
      </w:r>
      <w:r w:rsidRPr="00233EC2">
        <w:br/>
        <w:t xml:space="preserve"> 1995</w:t>
      </w:r>
      <w:r w:rsidRPr="00233EC2">
        <w:tab/>
        <w:t xml:space="preserve">Introduction: Peculiar Substances. </w:t>
      </w:r>
      <w:r w:rsidRPr="00233EC2">
        <w:rPr>
          <w:i/>
          <w:iCs/>
        </w:rPr>
        <w:t>In</w:t>
      </w:r>
      <w:r w:rsidRPr="00233EC2">
        <w:t xml:space="preserve"> Consuming Habits: Drugs in History and Anthropology. Jordan Goodman, A. Sherratt, and Paul Lovejoy, eds. Pp. 1–46. London: Routledge.</w:t>
      </w:r>
    </w:p>
    <w:p w:rsidR="00233EC2" w:rsidRPr="00233EC2" w:rsidRDefault="00233EC2" w:rsidP="00986537">
      <w:pPr>
        <w:pStyle w:val="Bibliography"/>
        <w:spacing w:line="480" w:lineRule="auto"/>
      </w:pPr>
      <w:r w:rsidRPr="00233EC2">
        <w:br/>
        <w:t>Simons, G.F.</w:t>
      </w:r>
      <w:r w:rsidRPr="00233EC2">
        <w:br/>
        <w:t xml:space="preserve"> 1981</w:t>
      </w:r>
      <w:r w:rsidRPr="00233EC2">
        <w:tab/>
        <w:t>Word Taboo and Comparative Austronesian Linguistics. Pusat Pembinaan dan Pengembangan Bahasa, Departemen Pendidikan dan Kebudayaan= National Center for Language Development, Ministry of Education and Culture.</w:t>
      </w:r>
    </w:p>
    <w:p w:rsidR="00233EC2" w:rsidRPr="00233EC2" w:rsidRDefault="00233EC2" w:rsidP="00986537">
      <w:pPr>
        <w:pStyle w:val="Bibliography"/>
        <w:spacing w:line="480" w:lineRule="auto"/>
      </w:pPr>
      <w:r w:rsidRPr="00233EC2">
        <w:br/>
        <w:t>Tadmor, Uri, Martin Haspelmath, and Bradley Taylor</w:t>
      </w:r>
      <w:r w:rsidRPr="00233EC2">
        <w:br/>
        <w:t xml:space="preserve"> 2010</w:t>
      </w:r>
      <w:r w:rsidRPr="00233EC2">
        <w:tab/>
        <w:t>Borrowability and the Notion of Basic Vocabulary. Diachronica 27(2): 226–246.</w:t>
      </w:r>
    </w:p>
    <w:p w:rsidR="00233EC2" w:rsidRPr="00233EC2" w:rsidRDefault="00233EC2" w:rsidP="00986537">
      <w:pPr>
        <w:pStyle w:val="Bibliography"/>
        <w:spacing w:line="480" w:lineRule="auto"/>
      </w:pPr>
      <w:r w:rsidRPr="00233EC2">
        <w:br/>
        <w:t>Timbrook, Jan</w:t>
      </w:r>
      <w:r w:rsidRPr="00233EC2">
        <w:br/>
        <w:t xml:space="preserve"> 2007</w:t>
      </w:r>
      <w:r w:rsidRPr="00233EC2">
        <w:tab/>
        <w:t>Chumash Ethnobotany: Plant Knowledge Among the Chumash People of Southern California, vol.5. Santa Barbara, CA: Santa Barbara Museum of Natural History Monographs.</w:t>
      </w:r>
    </w:p>
    <w:p w:rsidR="00233EC2" w:rsidRPr="00233EC2" w:rsidRDefault="00233EC2" w:rsidP="00986537">
      <w:pPr>
        <w:pStyle w:val="Bibliography"/>
        <w:spacing w:line="480" w:lineRule="auto"/>
      </w:pPr>
      <w:r w:rsidRPr="00233EC2">
        <w:br/>
        <w:t>Turner, Nancy J.</w:t>
      </w:r>
      <w:r w:rsidRPr="00233EC2">
        <w:br/>
        <w:t xml:space="preserve"> 1988</w:t>
      </w:r>
      <w:r w:rsidRPr="00233EC2">
        <w:tab/>
        <w:t>“The Importance of a Rose”: Evaluating the Cultural Significance of Plants in Thompson and Lillooet Interior Salish. American Anthropologist 90(2): 272–290.</w:t>
      </w:r>
    </w:p>
    <w:p w:rsidR="00233EC2" w:rsidRPr="00233EC2" w:rsidRDefault="00233EC2" w:rsidP="00986537">
      <w:pPr>
        <w:pStyle w:val="Bibliography"/>
        <w:spacing w:line="480" w:lineRule="auto"/>
      </w:pPr>
      <w:r w:rsidRPr="00233EC2">
        <w:br/>
        <w:t>Turner, Nancy Jean</w:t>
      </w:r>
      <w:r w:rsidRPr="00233EC2">
        <w:br/>
      </w:r>
      <w:r w:rsidRPr="00233EC2">
        <w:lastRenderedPageBreak/>
        <w:t xml:space="preserve"> 1974</w:t>
      </w:r>
      <w:r w:rsidRPr="00233EC2">
        <w:tab/>
        <w:t>Plant Taxonomic Systems and Ethnobotany of Three Contemporary Indian Groups of the Pacific Northwest (Haida, Bella Coola, and Lillooet). Syesis 7(Supplement 1). https://circle.ubc.ca/handle/2429/42513, accessed May 28, 2013.</w:t>
      </w:r>
    </w:p>
    <w:p w:rsidR="00233EC2" w:rsidRPr="00233EC2" w:rsidRDefault="00233EC2" w:rsidP="00986537">
      <w:pPr>
        <w:pStyle w:val="Bibliography"/>
        <w:spacing w:line="480" w:lineRule="auto"/>
      </w:pPr>
      <w:r w:rsidRPr="00233EC2">
        <w:br/>
        <w:t>Urban, M.</w:t>
      </w:r>
      <w:r w:rsidRPr="00233EC2">
        <w:br/>
        <w:t xml:space="preserve"> 2010</w:t>
      </w:r>
      <w:r w:rsidRPr="00233EC2">
        <w:tab/>
        <w:t>Terms for the Unique Beginner: Cross-linguistic and Cross-cultural Perspectives. Journal of Ethnobiology 30(2): 203–230.</w:t>
      </w:r>
    </w:p>
    <w:p w:rsidR="00233EC2" w:rsidRPr="00233EC2" w:rsidRDefault="00233EC2" w:rsidP="00986537">
      <w:pPr>
        <w:pStyle w:val="Bibliography"/>
        <w:spacing w:line="480" w:lineRule="auto"/>
      </w:pPr>
      <w:r w:rsidRPr="00233EC2">
        <w:br/>
        <w:t>Watkins, Calvert</w:t>
      </w:r>
      <w:r w:rsidRPr="00233EC2">
        <w:br/>
        <w:t xml:space="preserve"> 2000</w:t>
      </w:r>
      <w:r w:rsidRPr="00233EC2">
        <w:tab/>
        <w:t>The American Heritage Dictionary of Indo-European Roots. Houghton Mifflin Harcourt.</w:t>
      </w:r>
    </w:p>
    <w:p w:rsidR="00233EC2" w:rsidRPr="00233EC2" w:rsidRDefault="00233EC2" w:rsidP="00986537">
      <w:pPr>
        <w:pStyle w:val="Bibliography"/>
        <w:spacing w:line="480" w:lineRule="auto"/>
      </w:pPr>
      <w:r w:rsidRPr="00233EC2">
        <w:br/>
        <w:t>Witkowski, Stanley R., Cecil H. Brown, and Paul K. Chase</w:t>
      </w:r>
      <w:r w:rsidRPr="00233EC2">
        <w:br/>
        <w:t xml:space="preserve"> 1981</w:t>
      </w:r>
      <w:r w:rsidRPr="00233EC2">
        <w:tab/>
        <w:t>Where Do Tree Terms Come From? Man 16(1): 1–14.</w:t>
      </w:r>
    </w:p>
    <w:p w:rsidR="00052640" w:rsidRPr="004C3EE1" w:rsidRDefault="00052640" w:rsidP="00986537">
      <w:pPr>
        <w:spacing w:line="480" w:lineRule="auto"/>
      </w:pPr>
    </w:p>
    <w:p w:rsidR="00657426" w:rsidRDefault="00657426">
      <w:pPr>
        <w:widowControl/>
        <w:suppressAutoHyphens w:val="0"/>
        <w:autoSpaceDN/>
        <w:spacing w:after="200" w:line="276" w:lineRule="auto"/>
        <w:textAlignment w:val="auto"/>
      </w:pPr>
      <w:r>
        <w:br w:type="page"/>
      </w:r>
    </w:p>
    <w:p w:rsidR="00052640" w:rsidRPr="0025487F" w:rsidRDefault="00657426" w:rsidP="0025487F">
      <w:pPr>
        <w:spacing w:line="480" w:lineRule="auto"/>
        <w:jc w:val="center"/>
        <w:rPr>
          <w:b/>
        </w:rPr>
      </w:pPr>
      <w:r w:rsidRPr="0025487F">
        <w:rPr>
          <w:b/>
        </w:rPr>
        <w:lastRenderedPageBreak/>
        <w:t>Figure and Table Captions</w:t>
      </w:r>
    </w:p>
    <w:p w:rsidR="0025487F" w:rsidRDefault="0025487F" w:rsidP="0025487F">
      <w:pPr>
        <w:spacing w:line="480" w:lineRule="auto"/>
      </w:pPr>
    </w:p>
    <w:p w:rsidR="006E5952" w:rsidRDefault="006E5952" w:rsidP="0025487F">
      <w:pPr>
        <w:spacing w:line="480" w:lineRule="auto"/>
      </w:pPr>
      <w:r>
        <w:t>Figure 1: Case Study Areas and Languages</w:t>
      </w:r>
    </w:p>
    <w:p w:rsidR="006E5952" w:rsidRDefault="006E5952" w:rsidP="0025487F">
      <w:pPr>
        <w:spacing w:line="480" w:lineRule="auto"/>
      </w:pPr>
      <w:r>
        <w:t>Figure 2 Loan rates by language</w:t>
      </w:r>
    </w:p>
    <w:p w:rsidR="006E5952" w:rsidRDefault="006E5952" w:rsidP="0025487F">
      <w:pPr>
        <w:spacing w:line="480" w:lineRule="auto"/>
      </w:pPr>
      <w:r>
        <w:t>Figure 3 Loan frequencies for languages, grouped by Case Study Areas</w:t>
      </w:r>
    </w:p>
    <w:p w:rsidR="006E5952" w:rsidRDefault="006E5952" w:rsidP="0025487F">
      <w:pPr>
        <w:spacing w:line="480" w:lineRule="auto"/>
      </w:pPr>
      <w:r>
        <w:t>Figure 4 Item loan frequency in each case study area</w:t>
      </w:r>
    </w:p>
    <w:p w:rsidR="006E5952" w:rsidRDefault="006E5952" w:rsidP="0025487F">
      <w:pPr>
        <w:spacing w:line="480" w:lineRule="auto"/>
      </w:pPr>
    </w:p>
    <w:p w:rsidR="006E5952" w:rsidRDefault="006E5952" w:rsidP="0025487F">
      <w:pPr>
        <w:spacing w:line="480" w:lineRule="auto"/>
      </w:pPr>
    </w:p>
    <w:p w:rsidR="006E5952" w:rsidRDefault="006E5952" w:rsidP="0025487F">
      <w:pPr>
        <w:spacing w:line="480" w:lineRule="auto"/>
      </w:pPr>
      <w:r w:rsidRPr="00677ADE">
        <w:t xml:space="preserve">Table </w:t>
      </w:r>
      <w:r>
        <w:t>1</w:t>
      </w:r>
      <w:r w:rsidRPr="00677ADE">
        <w:t>a Descriptive statistics:  overall and by Case Study Area</w:t>
      </w:r>
    </w:p>
    <w:p w:rsidR="006E5952" w:rsidRDefault="006E5952" w:rsidP="0025487F">
      <w:pPr>
        <w:spacing w:line="480" w:lineRule="auto"/>
      </w:pPr>
      <w:r w:rsidRPr="00677ADE">
        <w:t xml:space="preserve">Table 1b Descriptive statistics:  overall and by </w:t>
      </w:r>
      <w:r>
        <w:t>Subsistent Mode (including Australian data)</w:t>
      </w:r>
    </w:p>
    <w:p w:rsidR="006E5952" w:rsidRPr="006E5952" w:rsidRDefault="006E5952" w:rsidP="0025487F">
      <w:pPr>
        <w:spacing w:line="480" w:lineRule="auto"/>
      </w:pPr>
      <w:r w:rsidRPr="006E5952">
        <w:t>Table 1c Descriptive statistics:  overall and by Subsistent Mode (excluding Australian data)</w:t>
      </w:r>
    </w:p>
    <w:p w:rsidR="006E5952" w:rsidRDefault="006E5952" w:rsidP="0025487F">
      <w:pPr>
        <w:spacing w:line="480" w:lineRule="auto"/>
        <w:rPr>
          <w:noProof/>
        </w:rPr>
      </w:pPr>
      <w:r>
        <w:t>Table 2</w:t>
      </w:r>
      <w:r>
        <w:rPr>
          <w:noProof/>
        </w:rPr>
        <w:t xml:space="preserve"> Significance of demographic traits</w:t>
      </w:r>
    </w:p>
    <w:p w:rsidR="006E5952" w:rsidRDefault="006E5952" w:rsidP="0025487F">
      <w:pPr>
        <w:spacing w:line="480" w:lineRule="auto"/>
      </w:pPr>
      <w:r>
        <w:t>Table 3 Borrowing rate statistics by item</w:t>
      </w:r>
    </w:p>
    <w:p w:rsidR="006E5952" w:rsidRDefault="006E5952" w:rsidP="0025487F">
      <w:pPr>
        <w:spacing w:line="480" w:lineRule="auto"/>
      </w:pPr>
      <w:r>
        <w:t>Table 4: Inheritance figures</w:t>
      </w:r>
    </w:p>
    <w:p w:rsidR="006E5952" w:rsidRDefault="006E5952" w:rsidP="0025487F">
      <w:pPr>
        <w:spacing w:line="480" w:lineRule="auto"/>
      </w:pPr>
      <w:r>
        <w:t>Table 5 Flora and Fauna subsets</w:t>
      </w:r>
    </w:p>
    <w:p w:rsidR="006E5952" w:rsidRPr="006E5952" w:rsidRDefault="006E5952" w:rsidP="0025487F">
      <w:pPr>
        <w:spacing w:line="480" w:lineRule="auto"/>
      </w:pPr>
    </w:p>
    <w:p w:rsidR="006E5952" w:rsidRPr="006E5952" w:rsidRDefault="006E5952" w:rsidP="0025487F">
      <w:pPr>
        <w:spacing w:line="480" w:lineRule="auto"/>
      </w:pPr>
    </w:p>
    <w:p w:rsidR="006E5952" w:rsidRPr="006E5952" w:rsidRDefault="006E5952" w:rsidP="0025487F">
      <w:pPr>
        <w:spacing w:line="480" w:lineRule="auto"/>
      </w:pPr>
    </w:p>
    <w:p w:rsidR="006E5952" w:rsidRPr="00677ADE" w:rsidRDefault="006E5952" w:rsidP="0025487F">
      <w:pPr>
        <w:spacing w:line="480" w:lineRule="auto"/>
      </w:pPr>
    </w:p>
    <w:p w:rsidR="006E5952" w:rsidRPr="006E5952" w:rsidRDefault="006E5952" w:rsidP="0025487F">
      <w:pPr>
        <w:spacing w:line="480" w:lineRule="auto"/>
      </w:pPr>
    </w:p>
    <w:p w:rsidR="006E5952" w:rsidRPr="006E5952" w:rsidRDefault="006E5952" w:rsidP="0025487F">
      <w:pPr>
        <w:spacing w:line="480" w:lineRule="auto"/>
      </w:pPr>
    </w:p>
    <w:p w:rsidR="006E5952" w:rsidRPr="006E5952" w:rsidRDefault="006E5952" w:rsidP="006E5952"/>
    <w:p w:rsidR="00657426" w:rsidRDefault="00657426" w:rsidP="00986537">
      <w:pPr>
        <w:spacing w:line="480" w:lineRule="auto"/>
      </w:pPr>
    </w:p>
    <w:p w:rsidR="00657426" w:rsidRDefault="00657426" w:rsidP="00986537">
      <w:pPr>
        <w:spacing w:line="480" w:lineRule="auto"/>
      </w:pPr>
    </w:p>
    <w:sectPr w:rsidR="00657426" w:rsidSect="007A39A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59B" w:rsidRDefault="00E5159B" w:rsidP="00052640"/>
    <w:p w:rsidR="00E5159B" w:rsidRDefault="00E5159B" w:rsidP="00DF2855">
      <w:pPr>
        <w:jc w:val="center"/>
        <w:rPr>
          <w:b/>
        </w:rPr>
      </w:pPr>
      <w:r>
        <w:rPr>
          <w:b/>
        </w:rPr>
        <w:t>NOTES</w:t>
      </w:r>
    </w:p>
    <w:p w:rsidR="00E5159B" w:rsidRPr="00DF2855" w:rsidRDefault="00E5159B" w:rsidP="00DF2855">
      <w:pPr>
        <w:jc w:val="center"/>
        <w:rPr>
          <w:b/>
        </w:rPr>
      </w:pPr>
    </w:p>
  </w:endnote>
  <w:endnote w:type="continuationSeparator" w:id="0">
    <w:p w:rsidR="00E5159B" w:rsidRDefault="00E5159B" w:rsidP="00052640"/>
  </w:endnote>
  <w:endnote w:type="continuationNotice" w:id="1">
    <w:p w:rsidR="00E5159B" w:rsidRDefault="00E5159B"/>
  </w:endnote>
  <w:endnote w:id="2">
    <w:p w:rsidR="0025487F" w:rsidRDefault="0025487F" w:rsidP="00677ADE">
      <w:pPr>
        <w:pStyle w:val="EndnoteText"/>
        <w:spacing w:line="480" w:lineRule="auto"/>
      </w:pPr>
      <w:r>
        <w:rPr>
          <w:rStyle w:val="EndnoteReference"/>
        </w:rPr>
        <w:endnoteRef/>
      </w:r>
      <w:r>
        <w:t xml:space="preserve"> We acknowledge the critical points of </w:t>
      </w:r>
      <w:proofErr w:type="spellStart"/>
      <w:r>
        <w:t>Medin</w:t>
      </w:r>
      <w:proofErr w:type="spellEnd"/>
      <w:r>
        <w:t xml:space="preserve"> and </w:t>
      </w:r>
      <w:proofErr w:type="spellStart"/>
      <w:r>
        <w:t>Atran</w:t>
      </w:r>
      <w:proofErr w:type="spellEnd"/>
      <w:r>
        <w:t xml:space="preserve"> </w:t>
      </w:r>
      <w:r>
        <w:rPr>
          <w:noProof/>
        </w:rPr>
        <w:t>(1999:5)</w:t>
      </w:r>
      <w:r>
        <w:t xml:space="preserve"> that competence in ethnobiological nomenclature might vary extensively across speakers of a language and that different speakers may have different systems. The terms in our list are all common terms and are likely to be known by all speakers of a language.</w:t>
      </w:r>
    </w:p>
  </w:endnote>
  <w:endnote w:id="3">
    <w:p w:rsidR="0025487F" w:rsidRDefault="0025487F" w:rsidP="00677ADE">
      <w:pPr>
        <w:pStyle w:val="EndnoteText"/>
        <w:spacing w:line="480" w:lineRule="auto"/>
      </w:pPr>
      <w:r>
        <w:rPr>
          <w:rStyle w:val="EndnoteReference"/>
        </w:rPr>
        <w:endnoteRef/>
      </w:r>
      <w:r>
        <w:t xml:space="preserve"> Our survey data does not allow us to distinguish in many cases between species terms and varietals, as the glossing of terms in the lexicons of the areas is frequently insufficiently precise at this level.</w:t>
      </w:r>
    </w:p>
  </w:endnote>
  <w:endnote w:id="4">
    <w:p w:rsidR="0025487F" w:rsidRDefault="0025487F" w:rsidP="00677ADE">
      <w:pPr>
        <w:pStyle w:val="EndnoteText"/>
        <w:spacing w:line="480" w:lineRule="auto"/>
      </w:pPr>
      <w:r>
        <w:rPr>
          <w:rStyle w:val="EndnoteReference"/>
        </w:rPr>
        <w:endnoteRef/>
      </w:r>
      <w:r>
        <w:t xml:space="preserve"> For instance, for “Pinyon pine”, in the California languages in the NAM sample the species is </w:t>
      </w:r>
      <w:proofErr w:type="spellStart"/>
      <w:r w:rsidRPr="00B612B3">
        <w:rPr>
          <w:i/>
        </w:rPr>
        <w:t>Pinus</w:t>
      </w:r>
      <w:proofErr w:type="spellEnd"/>
      <w:r w:rsidRPr="00B612B3">
        <w:rPr>
          <w:i/>
        </w:rPr>
        <w:t xml:space="preserve"> </w:t>
      </w:r>
      <w:proofErr w:type="spellStart"/>
      <w:r w:rsidRPr="00B612B3">
        <w:rPr>
          <w:i/>
        </w:rPr>
        <w:t>monophylla</w:t>
      </w:r>
      <w:proofErr w:type="spellEnd"/>
      <w:r>
        <w:t xml:space="preserve">.  However, for a few languages in the sample spoken further east in the Great Basin, the species is </w:t>
      </w:r>
      <w:proofErr w:type="spellStart"/>
      <w:r w:rsidRPr="00B612B3">
        <w:rPr>
          <w:i/>
        </w:rPr>
        <w:t>Pinus</w:t>
      </w:r>
      <w:proofErr w:type="spellEnd"/>
      <w:r w:rsidRPr="00B612B3">
        <w:rPr>
          <w:i/>
        </w:rPr>
        <w:t xml:space="preserve"> </w:t>
      </w:r>
      <w:proofErr w:type="spellStart"/>
      <w:r w:rsidRPr="00B612B3">
        <w:rPr>
          <w:i/>
        </w:rPr>
        <w:t>edulis</w:t>
      </w:r>
      <w:proofErr w:type="spellEnd"/>
      <w:r>
        <w:t>.  The labels for the two species are identical in the Uto-Aztecan languages and all were coded as “Pinyon pine”.</w:t>
      </w:r>
    </w:p>
  </w:endnote>
  <w:endnote w:id="5">
    <w:p w:rsidR="0025487F" w:rsidRDefault="0025487F" w:rsidP="00677ADE">
      <w:pPr>
        <w:pStyle w:val="EndnoteText"/>
        <w:spacing w:line="480" w:lineRule="auto"/>
      </w:pPr>
      <w:r>
        <w:rPr>
          <w:rStyle w:val="EndnoteReference"/>
        </w:rPr>
        <w:endnoteRef/>
      </w:r>
      <w:r>
        <w:t xml:space="preserve"> Full lists of terms used and the languages and sources will be publicly available from </w:t>
      </w:r>
      <w:r w:rsidRPr="00364812">
        <w:t>http://dev.laits.utexas.edu/huntergatherer/public/home</w:t>
      </w:r>
      <w:r>
        <w:t xml:space="preserve"> by October, 2013. </w:t>
      </w:r>
    </w:p>
  </w:endnote>
  <w:endnote w:id="6">
    <w:p w:rsidR="0025487F" w:rsidRDefault="0025487F" w:rsidP="00677ADE">
      <w:pPr>
        <w:pStyle w:val="EndnoteText"/>
        <w:spacing w:line="480" w:lineRule="auto"/>
      </w:pPr>
      <w:r>
        <w:rPr>
          <w:rStyle w:val="EndnoteReference"/>
        </w:rPr>
        <w:endnoteRef/>
      </w:r>
      <w:r>
        <w:t xml:space="preserve"> Basic vocabulary and flora/fauna loan rates were also significantly different (p &lt; 0.05) for each case study area taken individually (Australia p = 0.025, North America and South America both p &lt; 0.001).</w:t>
      </w:r>
    </w:p>
  </w:endnote>
  <w:endnote w:id="7">
    <w:p w:rsidR="0025487F" w:rsidRDefault="0025487F" w:rsidP="00677ADE">
      <w:pPr>
        <w:pStyle w:val="EndnoteText"/>
        <w:spacing w:line="480" w:lineRule="auto"/>
      </w:pPr>
      <w:r>
        <w:rPr>
          <w:rStyle w:val="EndnoteReference"/>
        </w:rPr>
        <w:endnoteRef/>
      </w:r>
      <w:r>
        <w:t xml:space="preserve"> We hypothesize that flora/fauna items are most extensively borrowed when speakers migrate to a new area. We cannot conclude, however, that low loan rates for flora/fauna mean that groups have not migrated, tempting as it might be. Bowern et al. </w:t>
      </w:r>
      <w:r>
        <w:rPr>
          <w:noProof/>
        </w:rPr>
        <w:t>(2011)</w:t>
      </w:r>
      <w:r>
        <w:t xml:space="preserve"> noted that the highest rates of borrowing in basic vocabulary involved cases of language shift. Given the high rates of multilingualism and exogamy in Arnhem Land, where both Ritharrngu and Burarra are spoken, language shift may be involved, though evidence is unclear. Moreover, in this area, flora/fauna terms have clan associations and so might be subject to anti-borrowing pressures that do not apply to basic vocabulary. See McConvell </w:t>
      </w:r>
      <w:r>
        <w:rPr>
          <w:noProof/>
        </w:rPr>
        <w:t>(2009)</w:t>
      </w:r>
      <w:r>
        <w:t xml:space="preserve"> for a parallel argument from the Eastern Ngumpin languages of the Kimberley and Victoria River districts in North Australia.</w:t>
      </w:r>
    </w:p>
  </w:endnote>
  <w:endnote w:id="8">
    <w:p w:rsidR="0025487F" w:rsidRDefault="0025487F" w:rsidP="00677ADE">
      <w:pPr>
        <w:pStyle w:val="EndnoteText"/>
        <w:spacing w:line="480" w:lineRule="auto"/>
      </w:pPr>
      <w:r>
        <w:rPr>
          <w:rStyle w:val="EndnoteReference"/>
        </w:rPr>
        <w:endnoteRef/>
      </w:r>
      <w:r>
        <w:t xml:space="preserve"> Resistance to borrowing is reported in many Amazonian hunter-gatherer languages (see Epps </w:t>
      </w:r>
      <w:r>
        <w:rPr>
          <w:noProof/>
        </w:rPr>
        <w:t>(2009)</w:t>
      </w:r>
      <w:r>
        <w:t xml:space="preserve"> and Aikhenvald </w:t>
      </w:r>
      <w:r>
        <w:rPr>
          <w:noProof/>
        </w:rPr>
        <w:t>(1996)</w:t>
      </w:r>
      <w:r>
        <w:t xml:space="preserve"> for examples) and also in Athapaskan </w:t>
      </w:r>
      <w:r>
        <w:rPr>
          <w:noProof/>
        </w:rPr>
        <w:t>(Rice 2004:340)</w:t>
      </w:r>
      <w:r>
        <w:t>.</w:t>
      </w:r>
    </w:p>
  </w:endnote>
  <w:endnote w:id="9">
    <w:p w:rsidR="0025487F" w:rsidRDefault="0025487F" w:rsidP="00677ADE">
      <w:pPr>
        <w:pStyle w:val="EndnoteText"/>
        <w:spacing w:line="480" w:lineRule="auto"/>
      </w:pPr>
      <w:r>
        <w:rPr>
          <w:rStyle w:val="EndnoteReference"/>
        </w:rPr>
        <w:endnoteRef/>
      </w:r>
      <w:r>
        <w:t xml:space="preserve"> Because we are working with dictionary data, we are often unable to tell whether a term is absent from a source because it is absent from the language, or simply not recorded. This was a sufficient confound for unique beginner terms that we were unable to </w:t>
      </w:r>
      <w:proofErr w:type="spellStart"/>
      <w:r>
        <w:t>inviestigate</w:t>
      </w:r>
      <w:proofErr w:type="spellEnd"/>
      <w:r>
        <w:t xml:space="preserve"> them systematically.</w:t>
      </w:r>
    </w:p>
  </w:endnote>
  <w:endnote w:id="10">
    <w:p w:rsidR="0025487F" w:rsidRDefault="0025487F" w:rsidP="00677ADE">
      <w:pPr>
        <w:pStyle w:val="EndnoteText"/>
        <w:spacing w:line="480" w:lineRule="auto"/>
      </w:pPr>
      <w:r>
        <w:rPr>
          <w:rStyle w:val="EndnoteReference"/>
        </w:rPr>
        <w:endnoteRef/>
      </w:r>
      <w:r>
        <w:t xml:space="preserve"> Outside the survey area, the term </w:t>
      </w:r>
      <w:proofErr w:type="spellStart"/>
      <w:r w:rsidRPr="00657426">
        <w:rPr>
          <w:b/>
          <w:i/>
        </w:rPr>
        <w:t>warrij</w:t>
      </w:r>
      <w:proofErr w:type="spellEnd"/>
      <w:r>
        <w:rPr>
          <w:i/>
        </w:rPr>
        <w:t xml:space="preserve"> </w:t>
      </w:r>
      <w:r>
        <w:t>‘freshwater crocodile’ has also been borrowed from a Mirndi language into Pama-Nyungan languages of the region.</w:t>
      </w:r>
    </w:p>
  </w:endnote>
  <w:endnote w:id="11">
    <w:p w:rsidR="0025487F" w:rsidRDefault="0025487F" w:rsidP="00677ADE">
      <w:pPr>
        <w:pStyle w:val="EndnoteText"/>
        <w:spacing w:line="480" w:lineRule="auto"/>
      </w:pPr>
      <w:r>
        <w:rPr>
          <w:rStyle w:val="EndnoteReference"/>
        </w:rPr>
        <w:endnoteRef/>
      </w:r>
      <w:r>
        <w:t xml:space="preserve"> </w:t>
      </w:r>
      <w:proofErr w:type="spellStart"/>
      <w:r>
        <w:t>Bonferroni</w:t>
      </w:r>
      <w:proofErr w:type="spellEnd"/>
      <w:r>
        <w:t xml:space="preserve"> corrections would indicate that at the 5% error level we should be looking for significance values at &lt;0.0065. However, since these tests are dependent, the level is probably higher.  </w:t>
      </w:r>
    </w:p>
  </w:endnote>
  <w:endnote w:id="12">
    <w:p w:rsidR="0025487F" w:rsidRDefault="0025487F" w:rsidP="00677ADE">
      <w:pPr>
        <w:pStyle w:val="EndnoteText"/>
        <w:spacing w:line="480" w:lineRule="auto"/>
      </w:pPr>
      <w:r>
        <w:rPr>
          <w:rStyle w:val="EndnoteReference"/>
        </w:rPr>
        <w:endnoteRef/>
      </w:r>
      <w:r>
        <w:t xml:space="preserve"> As noted by Emeneau </w:t>
      </w:r>
      <w:r>
        <w:rPr>
          <w:noProof/>
        </w:rPr>
        <w:t>(1948)</w:t>
      </w:r>
      <w:r>
        <w:t>, protective euphemisms have several motivations, including the desire not to call up something dangerous and not warning prey animals during a hunt.</w:t>
      </w:r>
    </w:p>
  </w:endnote>
  <w:endnote w:id="13">
    <w:p w:rsidR="0025487F" w:rsidRDefault="0025487F" w:rsidP="00677ADE">
      <w:pPr>
        <w:pStyle w:val="EndnoteText"/>
        <w:spacing w:line="480" w:lineRule="auto"/>
      </w:pPr>
      <w:r>
        <w:rPr>
          <w:rStyle w:val="EndnoteReference"/>
        </w:rPr>
        <w:endnoteRef/>
      </w:r>
      <w:r>
        <w:t xml:space="preserve"> This follows work by Epps (forthcoming)</w:t>
      </w:r>
      <w:r w:rsidDel="000D40B9">
        <w:t xml:space="preserve"> </w:t>
      </w:r>
      <w:r>
        <w:t xml:space="preserve"> that investigates patterns of etymological asymmetries involving cultivated plant species in the Nadahup language family of Amazonia. In this hunter-gatherer family, cultivar terms are shown to have undergone more innovation and borrowing, and are less likely to be inherited, than terms for useful non-cultivars. We did not, however, find this pattern extending to all hunter-gatherer families in our sample.</w:t>
      </w:r>
    </w:p>
  </w:endnote>
  <w:endnote w:id="14">
    <w:p w:rsidR="0025487F" w:rsidRDefault="0025487F" w:rsidP="00677ADE">
      <w:pPr>
        <w:pStyle w:val="EndnoteText"/>
        <w:spacing w:line="480" w:lineRule="auto"/>
      </w:pPr>
      <w:r>
        <w:rPr>
          <w:rStyle w:val="EndnoteReference"/>
        </w:rPr>
        <w:endnoteRef/>
      </w:r>
      <w:r>
        <w:t xml:space="preserve"> </w:t>
      </w:r>
      <w:proofErr w:type="spellStart"/>
      <w:r>
        <w:t>Boster</w:t>
      </w:r>
      <w:proofErr w:type="spellEnd"/>
      <w:r>
        <w:t xml:space="preserve"> et al. </w:t>
      </w:r>
      <w:r>
        <w:rPr>
          <w:noProof/>
        </w:rPr>
        <w:t>(1986)</w:t>
      </w:r>
      <w:r>
        <w:t xml:space="preserve"> studied correspondences between Western Linnaean classification systems and two groups of </w:t>
      </w:r>
      <w:proofErr w:type="spellStart"/>
      <w:r>
        <w:t>Jivaroan</w:t>
      </w:r>
      <w:proofErr w:type="spellEnd"/>
      <w:r>
        <w:t xml:space="preserve"> languages and found greater agreement in classification with non-passerines than passerines. They suggest that this is the result of greater difficulty in telling passerine specimens apart. We expect similarity in appearance between species to have some impact on etymological stability (because of the possibility for semantic change) but have no way to test this with the current data.</w:t>
      </w:r>
    </w:p>
  </w:endnote>
  <w:endnote w:id="15">
    <w:p w:rsidR="0025487F" w:rsidRDefault="0025487F" w:rsidP="00677ADE">
      <w:pPr>
        <w:pStyle w:val="NormalWeb"/>
        <w:spacing w:after="0" w:line="480" w:lineRule="auto"/>
      </w:pPr>
      <w:r>
        <w:rPr>
          <w:rStyle w:val="EndnoteReference"/>
        </w:rPr>
        <w:endnoteRef/>
      </w:r>
      <w:r>
        <w:t xml:space="preserve"> </w:t>
      </w:r>
      <w:r w:rsidRPr="00A4752E">
        <w:rPr>
          <w:rFonts w:ascii="Cambria" w:eastAsia="Cambria" w:hAnsi="Cambria"/>
          <w:kern w:val="3"/>
          <w:sz w:val="24"/>
          <w:szCs w:val="24"/>
        </w:rPr>
        <w:t xml:space="preserve">The C. Hart Merriam Papers, archived at the Bancroft Library of the University of California, Berkeley, can be accessed </w:t>
      </w:r>
      <w:r>
        <w:rPr>
          <w:rFonts w:ascii="Cambria" w:eastAsia="Cambria" w:hAnsi="Cambria"/>
          <w:kern w:val="3"/>
          <w:sz w:val="24"/>
          <w:szCs w:val="24"/>
        </w:rPr>
        <w:t xml:space="preserve">and read online </w:t>
      </w:r>
      <w:r w:rsidRPr="00A4752E">
        <w:rPr>
          <w:rFonts w:ascii="Cambria" w:eastAsia="Cambria" w:hAnsi="Cambria"/>
          <w:kern w:val="3"/>
          <w:sz w:val="24"/>
          <w:szCs w:val="24"/>
        </w:rPr>
        <w:t>at</w:t>
      </w:r>
      <w:r>
        <w:rPr>
          <w:rFonts w:ascii="Cambria" w:eastAsia="Cambria" w:hAnsi="Cambria"/>
          <w:kern w:val="3"/>
          <w:sz w:val="24"/>
          <w:szCs w:val="24"/>
        </w:rPr>
        <w:t xml:space="preserve"> </w:t>
      </w:r>
      <w:r w:rsidRPr="00311104">
        <w:rPr>
          <w:rFonts w:ascii="Cambria" w:eastAsia="Cambria" w:hAnsi="Cambria"/>
          <w:kern w:val="3"/>
          <w:sz w:val="24"/>
          <w:szCs w:val="24"/>
        </w:rPr>
        <w:t>http://archive.org/details/bancroft_chartmerriam_1556_13</w:t>
      </w:r>
      <w:r>
        <w:rPr>
          <w:rFonts w:ascii="Cambria" w:eastAsia="Cambria" w:hAnsi="Cambria"/>
          <w:kern w:val="3"/>
          <w:sz w:val="24"/>
          <w:szCs w:val="24"/>
        </w:rPr>
        <w:t>.</w:t>
      </w:r>
    </w:p>
  </w:endnote>
  <w:endnote w:id="16">
    <w:p w:rsidR="0025487F" w:rsidRDefault="0025487F" w:rsidP="00677ADE">
      <w:pPr>
        <w:pStyle w:val="EndnoteText"/>
        <w:spacing w:line="480" w:lineRule="auto"/>
      </w:pPr>
      <w:r>
        <w:rPr>
          <w:rStyle w:val="EndnoteReference"/>
        </w:rPr>
        <w:endnoteRef/>
      </w:r>
      <w:r>
        <w:t xml:space="preserve"> We note that </w:t>
      </w:r>
      <w:proofErr w:type="spellStart"/>
      <w:r>
        <w:t>Nukak</w:t>
      </w:r>
      <w:proofErr w:type="spellEnd"/>
      <w:r>
        <w:t xml:space="preserve"> speakers are now located outside the Vaupés region, but ethno-historical accounts and the presence of loanwords from </w:t>
      </w:r>
      <w:proofErr w:type="spellStart"/>
      <w:r>
        <w:t>Cubeo</w:t>
      </w:r>
      <w:proofErr w:type="spellEnd"/>
      <w:r>
        <w:t xml:space="preserve"> and other East Tukanoan languages are evidence that they were located within the region several generations ago </w:t>
      </w:r>
      <w:r>
        <w:rPr>
          <w:noProof/>
        </w:rPr>
        <w:t>(see also Politis 2007:30)</w:t>
      </w:r>
      <w:r w:rsidRPr="00BA7459">
        <w:t xml:space="preserve">. </w:t>
      </w:r>
      <w:r>
        <w:t xml:space="preserve">Loan rates among East Tukanoan languages may be somewhat higher than they appear, due to the difficulty of detecting borrowings within this closely related group. </w:t>
      </w:r>
    </w:p>
  </w:endnote>
  <w:endnote w:id="17">
    <w:p w:rsidR="0025487F" w:rsidRDefault="0025487F" w:rsidP="00677ADE">
      <w:pPr>
        <w:pStyle w:val="EndnoteText"/>
        <w:spacing w:line="480" w:lineRule="auto"/>
      </w:pPr>
      <w:r>
        <w:rPr>
          <w:rStyle w:val="EndnoteReference"/>
        </w:rPr>
        <w:endnoteRef/>
      </w:r>
      <w:r>
        <w:t xml:space="preserve"> We note, however, that the borrowing patterns among the flora and fauna terms examined in </w:t>
      </w:r>
      <w:proofErr w:type="spellStart"/>
      <w:r>
        <w:t>Haspelmath</w:t>
      </w:r>
      <w:proofErr w:type="spellEnd"/>
      <w:r>
        <w:t xml:space="preserve"> and </w:t>
      </w:r>
      <w:proofErr w:type="spellStart"/>
      <w:r>
        <w:t>Tadmor</w:t>
      </w:r>
      <w:proofErr w:type="spellEnd"/>
      <w:r>
        <w:t xml:space="preserve"> (2009) are not directly comparable to those investigated here. Their sample focuses on generics and on ‘zoo’ animals, which are not native to most of the regions considered, whereas ours is almost exclusively concerned with animals and plants native to the continents on which the respective languages are spoken.</w:t>
      </w:r>
    </w:p>
  </w:endnote>
  <w:endnote w:id="18">
    <w:p w:rsidR="0025487F" w:rsidRDefault="0025487F" w:rsidP="00677ADE">
      <w:pPr>
        <w:pStyle w:val="EndnoteText"/>
        <w:spacing w:line="480" w:lineRule="auto"/>
      </w:pPr>
      <w:r>
        <w:rPr>
          <w:rStyle w:val="EndnoteReference"/>
        </w:rPr>
        <w:endnoteRef/>
      </w:r>
      <w:r>
        <w:t xml:space="preserve"> Yolŋu languages have a term </w:t>
      </w:r>
      <w:proofErr w:type="spellStart"/>
      <w:r w:rsidRPr="00657426">
        <w:rPr>
          <w:b/>
          <w:i/>
        </w:rPr>
        <w:t>warrakan</w:t>
      </w:r>
      <w:proofErr w:type="spellEnd"/>
      <w:r w:rsidRPr="00657426">
        <w:rPr>
          <w:b/>
          <w:i/>
        </w:rPr>
        <w:t>’</w:t>
      </w:r>
      <w:r>
        <w:t xml:space="preserve"> which includes mammals and birds, but not fish, reptiles, or insects.</w:t>
      </w:r>
    </w:p>
  </w:endnote>
  <w:endnote w:id="19">
    <w:p w:rsidR="0025487F" w:rsidRDefault="0025487F" w:rsidP="00677ADE">
      <w:pPr>
        <w:pStyle w:val="EndnoteText"/>
        <w:spacing w:line="480" w:lineRule="auto"/>
      </w:pPr>
      <w:r>
        <w:rPr>
          <w:rStyle w:val="EndnoteReference"/>
        </w:rPr>
        <w:endnoteRef/>
      </w:r>
      <w:r>
        <w:t xml:space="preserve"> However, although a generic term for ‘fish’ is readily reconstructible, it also shows frequent shifts in polysemy, as McConvell </w:t>
      </w:r>
      <w:r>
        <w:rPr>
          <w:noProof/>
        </w:rPr>
        <w:t>(1997)</w:t>
      </w:r>
      <w:r>
        <w:t xml:space="preserve"> shows.</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ode">
    <w:altName w:val="Times New Roman"/>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50" w:rsidRDefault="00590C4E" w:rsidP="00830289">
    <w:pPr>
      <w:pStyle w:val="Footer"/>
      <w:framePr w:wrap="around" w:vAnchor="text" w:hAnchor="margin" w:xAlign="right" w:y="1"/>
      <w:rPr>
        <w:rStyle w:val="PageNumber"/>
      </w:rPr>
    </w:pPr>
    <w:r>
      <w:rPr>
        <w:rStyle w:val="PageNumber"/>
      </w:rPr>
      <w:fldChar w:fldCharType="begin"/>
    </w:r>
    <w:r w:rsidR="00367B50">
      <w:rPr>
        <w:rStyle w:val="PageNumber"/>
      </w:rPr>
      <w:instrText xml:space="preserve">PAGE  </w:instrText>
    </w:r>
    <w:r>
      <w:rPr>
        <w:rStyle w:val="PageNumber"/>
      </w:rPr>
      <w:fldChar w:fldCharType="end"/>
    </w:r>
  </w:p>
  <w:p w:rsidR="00367B50" w:rsidRDefault="00367B50" w:rsidP="00367B5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50" w:rsidRDefault="00590C4E" w:rsidP="00830289">
    <w:pPr>
      <w:pStyle w:val="Footer"/>
      <w:framePr w:wrap="around" w:vAnchor="text" w:hAnchor="margin" w:xAlign="right" w:y="1"/>
      <w:rPr>
        <w:rStyle w:val="PageNumber"/>
      </w:rPr>
    </w:pPr>
    <w:r>
      <w:rPr>
        <w:rStyle w:val="PageNumber"/>
      </w:rPr>
      <w:fldChar w:fldCharType="begin"/>
    </w:r>
    <w:r w:rsidR="00367B50">
      <w:rPr>
        <w:rStyle w:val="PageNumber"/>
      </w:rPr>
      <w:instrText xml:space="preserve">PAGE  </w:instrText>
    </w:r>
    <w:r>
      <w:rPr>
        <w:rStyle w:val="PageNumber"/>
      </w:rPr>
      <w:fldChar w:fldCharType="separate"/>
    </w:r>
    <w:r w:rsidR="00920FD4">
      <w:rPr>
        <w:rStyle w:val="PageNumber"/>
        <w:noProof/>
      </w:rPr>
      <w:t>61</w:t>
    </w:r>
    <w:r>
      <w:rPr>
        <w:rStyle w:val="PageNumber"/>
      </w:rPr>
      <w:fldChar w:fldCharType="end"/>
    </w:r>
  </w:p>
  <w:p w:rsidR="00367B50" w:rsidRDefault="00367B50" w:rsidP="00367B5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59B" w:rsidRDefault="00E5159B" w:rsidP="00052640">
      <w:r>
        <w:separator/>
      </w:r>
    </w:p>
  </w:footnote>
  <w:footnote w:type="continuationSeparator" w:id="0">
    <w:p w:rsidR="00E5159B" w:rsidRDefault="00E5159B" w:rsidP="000526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00B" w:rsidRPr="0083600B" w:rsidRDefault="0083600B">
    <w:pPr>
      <w:pStyle w:val="Header"/>
    </w:pPr>
    <w:r>
      <w:t xml:space="preserve">Draft under revision – please do not quote or cite – forthcoming in </w:t>
    </w:r>
    <w:r>
      <w:rPr>
        <w:i/>
      </w:rPr>
      <w:t>Journal of Ethnobiology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E6094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AC4957E"/>
    <w:lvl w:ilvl="0">
      <w:start w:val="1"/>
      <w:numFmt w:val="decimal"/>
      <w:lvlText w:val="%1."/>
      <w:lvlJc w:val="left"/>
      <w:pPr>
        <w:tabs>
          <w:tab w:val="num" w:pos="1800"/>
        </w:tabs>
        <w:ind w:left="1800" w:hanging="360"/>
      </w:pPr>
    </w:lvl>
  </w:abstractNum>
  <w:abstractNum w:abstractNumId="2">
    <w:nsid w:val="FFFFFF7D"/>
    <w:multiLevelType w:val="singleLevel"/>
    <w:tmpl w:val="1D4C7830"/>
    <w:lvl w:ilvl="0">
      <w:start w:val="1"/>
      <w:numFmt w:val="decimal"/>
      <w:lvlText w:val="%1."/>
      <w:lvlJc w:val="left"/>
      <w:pPr>
        <w:tabs>
          <w:tab w:val="num" w:pos="1440"/>
        </w:tabs>
        <w:ind w:left="1440" w:hanging="360"/>
      </w:pPr>
    </w:lvl>
  </w:abstractNum>
  <w:abstractNum w:abstractNumId="3">
    <w:nsid w:val="FFFFFF7E"/>
    <w:multiLevelType w:val="singleLevel"/>
    <w:tmpl w:val="5FF22C34"/>
    <w:lvl w:ilvl="0">
      <w:start w:val="1"/>
      <w:numFmt w:val="decimal"/>
      <w:lvlText w:val="%1."/>
      <w:lvlJc w:val="left"/>
      <w:pPr>
        <w:tabs>
          <w:tab w:val="num" w:pos="1080"/>
        </w:tabs>
        <w:ind w:left="1080" w:hanging="360"/>
      </w:pPr>
    </w:lvl>
  </w:abstractNum>
  <w:abstractNum w:abstractNumId="4">
    <w:nsid w:val="FFFFFF7F"/>
    <w:multiLevelType w:val="singleLevel"/>
    <w:tmpl w:val="1C426704"/>
    <w:lvl w:ilvl="0">
      <w:start w:val="1"/>
      <w:numFmt w:val="decimal"/>
      <w:lvlText w:val="%1."/>
      <w:lvlJc w:val="left"/>
      <w:pPr>
        <w:tabs>
          <w:tab w:val="num" w:pos="720"/>
        </w:tabs>
        <w:ind w:left="720" w:hanging="360"/>
      </w:pPr>
    </w:lvl>
  </w:abstractNum>
  <w:abstractNum w:abstractNumId="5">
    <w:nsid w:val="FFFFFF80"/>
    <w:multiLevelType w:val="singleLevel"/>
    <w:tmpl w:val="8058160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6926F8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D42A67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574E36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9280FD8"/>
    <w:lvl w:ilvl="0">
      <w:start w:val="1"/>
      <w:numFmt w:val="decimal"/>
      <w:lvlText w:val="%1."/>
      <w:lvlJc w:val="left"/>
      <w:pPr>
        <w:tabs>
          <w:tab w:val="num" w:pos="360"/>
        </w:tabs>
        <w:ind w:left="360" w:hanging="360"/>
      </w:pPr>
    </w:lvl>
  </w:abstractNum>
  <w:abstractNum w:abstractNumId="10">
    <w:nsid w:val="FFFFFF89"/>
    <w:multiLevelType w:val="singleLevel"/>
    <w:tmpl w:val="A68E38BC"/>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422044F"/>
    <w:multiLevelType w:val="hybridMultilevel"/>
    <w:tmpl w:val="FB24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1B5DE7"/>
    <w:multiLevelType w:val="multilevel"/>
    <w:tmpl w:val="461E5AD2"/>
    <w:styleLink w:val="WW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nsid w:val="373F2052"/>
    <w:multiLevelType w:val="multilevel"/>
    <w:tmpl w:val="41A02098"/>
    <w:styleLink w:val="WWNum1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nsid w:val="418128BC"/>
    <w:multiLevelType w:val="hybridMultilevel"/>
    <w:tmpl w:val="E5C2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3D7CAE"/>
    <w:multiLevelType w:val="multilevel"/>
    <w:tmpl w:val="C23AD67E"/>
    <w:styleLink w:val="WWNum13"/>
    <w:lvl w:ilvl="0">
      <w:numFmt w:val="bullet"/>
      <w:lvlText w:val=""/>
      <w:lvlJc w:val="left"/>
      <w:rPr>
        <w:rFonts w:ascii="Wingdings 2" w:hAnsi="Wingdings 2"/>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
    <w:nsid w:val="658E53AC"/>
    <w:multiLevelType w:val="multilevel"/>
    <w:tmpl w:val="81B0C8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6F0A3017"/>
    <w:multiLevelType w:val="hybridMultilevel"/>
    <w:tmpl w:val="D23827E4"/>
    <w:lvl w:ilvl="0" w:tplc="7EA85E6C">
      <w:start w:val="5"/>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2B2EFF"/>
    <w:multiLevelType w:val="hybridMultilevel"/>
    <w:tmpl w:val="394C8164"/>
    <w:lvl w:ilvl="0" w:tplc="06CAD996">
      <w:start w:val="1"/>
      <w:numFmt w:val="bullet"/>
      <w:lvlText w:val=""/>
      <w:lvlJc w:val="left"/>
      <w:pPr>
        <w:ind w:left="720" w:hanging="432"/>
      </w:pPr>
      <w:rPr>
        <w:rFonts w:ascii="Wingdings 2" w:hAnsi="Wingdings 2"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C21997"/>
    <w:multiLevelType w:val="multilevel"/>
    <w:tmpl w:val="E93651E4"/>
    <w:styleLink w:val="WWOutlineListStyle"/>
    <w:lvl w:ilvl="0">
      <w:start w:val="1"/>
      <w:numFmt w:val="decimal"/>
      <w:pStyle w:val="Heading1"/>
      <w:lvlText w:val="%1"/>
      <w:lvlJc w:val="left"/>
    </w:lvl>
    <w:lvl w:ilvl="1">
      <w:start w:val="1"/>
      <w:numFmt w:val="decimal"/>
      <w:pStyle w:val="Heading2"/>
      <w:lvlText w:val="%1.%2"/>
      <w:lvlJc w:val="left"/>
    </w:lvl>
    <w:lvl w:ilvl="2">
      <w:start w:val="1"/>
      <w:numFmt w:val="decimal"/>
      <w:pStyle w:val="Heading3"/>
      <w:lvlText w:val="%1.%2.%3"/>
      <w:lvlJc w:val="left"/>
    </w:lvl>
    <w:lvl w:ilvl="3">
      <w:start w:val="1"/>
      <w:numFmt w:val="decimal"/>
      <w:pStyle w:val="Heading4"/>
      <w:lvlText w:val="%1.%2.%3.%4"/>
      <w:lvlJc w:val="left"/>
    </w:lvl>
    <w:lvl w:ilvl="4">
      <w:start w:val="1"/>
      <w:numFmt w:val="decimal"/>
      <w:pStyle w:val="Heading5"/>
      <w:lvlText w:val="%1.%2.%3.%4.%5"/>
      <w:lvlJc w:val="left"/>
    </w:lvl>
    <w:lvl w:ilvl="5">
      <w:start w:val="1"/>
      <w:numFmt w:val="decimal"/>
      <w:pStyle w:val="Heading6"/>
      <w:lvlText w:val="%1.%2.%3.%4.%5.%6"/>
      <w:lvlJc w:val="left"/>
    </w:lvl>
    <w:lvl w:ilvl="6">
      <w:start w:val="1"/>
      <w:numFmt w:val="decimal"/>
      <w:pStyle w:val="Heading7"/>
      <w:lvlText w:val="%1.%2.%3.%4.%5.%6.%7"/>
      <w:lvlJc w:val="left"/>
    </w:lvl>
    <w:lvl w:ilvl="7">
      <w:start w:val="1"/>
      <w:numFmt w:val="decimal"/>
      <w:pStyle w:val="Heading8"/>
      <w:lvlText w:val="%1.%2.%3.%4.%5.%6.%7.%8"/>
      <w:lvlJc w:val="left"/>
    </w:lvl>
    <w:lvl w:ilvl="8">
      <w:start w:val="1"/>
      <w:numFmt w:val="decimal"/>
      <w:pStyle w:val="Heading9"/>
      <w:lvlText w:val="%1.%2.%3.%4.%5.%6.%7.%8.%9"/>
      <w:lvlJc w:val="left"/>
    </w:lvl>
  </w:abstractNum>
  <w:num w:numId="1">
    <w:abstractNumId w:val="20"/>
  </w:num>
  <w:num w:numId="2">
    <w:abstractNumId w:val="16"/>
  </w:num>
  <w:num w:numId="3">
    <w:abstractNumId w:val="13"/>
  </w:num>
  <w:num w:numId="4">
    <w:abstractNumId w:val="14"/>
  </w:num>
  <w:num w:numId="5">
    <w:abstractNumId w:val="12"/>
  </w:num>
  <w:num w:numId="6">
    <w:abstractNumId w:val="17"/>
  </w:num>
  <w:num w:numId="7">
    <w:abstractNumId w:val="19"/>
  </w:num>
  <w:num w:numId="8">
    <w:abstractNumId w:val="15"/>
  </w:num>
  <w:num w:numId="9">
    <w:abstractNumId w:val="11"/>
  </w:num>
  <w:num w:numId="10">
    <w:abstractNumId w:val="18"/>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footnotePr>
    <w:footnote w:id="-1"/>
    <w:footnote w:id="0"/>
  </w:footnotePr>
  <w:endnotePr>
    <w:pos w:val="sectEnd"/>
    <w:numFmt w:val="decimal"/>
    <w:endnote w:id="-1"/>
    <w:endnote w:id="0"/>
    <w:endnote w:id="1"/>
  </w:endnotePr>
  <w:compat/>
  <w:rsids>
    <w:rsidRoot w:val="00E2131F"/>
    <w:rsid w:val="000005B9"/>
    <w:rsid w:val="000036FF"/>
    <w:rsid w:val="00007431"/>
    <w:rsid w:val="000074E4"/>
    <w:rsid w:val="0001121A"/>
    <w:rsid w:val="00017D00"/>
    <w:rsid w:val="00017DD6"/>
    <w:rsid w:val="00020C86"/>
    <w:rsid w:val="000221AE"/>
    <w:rsid w:val="000224E9"/>
    <w:rsid w:val="00024D70"/>
    <w:rsid w:val="0002612C"/>
    <w:rsid w:val="000273BB"/>
    <w:rsid w:val="000357F3"/>
    <w:rsid w:val="0004179C"/>
    <w:rsid w:val="00045D8E"/>
    <w:rsid w:val="0005188C"/>
    <w:rsid w:val="0005193D"/>
    <w:rsid w:val="00052640"/>
    <w:rsid w:val="000663E6"/>
    <w:rsid w:val="0007015D"/>
    <w:rsid w:val="00073A83"/>
    <w:rsid w:val="000801F8"/>
    <w:rsid w:val="000856FB"/>
    <w:rsid w:val="00095717"/>
    <w:rsid w:val="000A1DB8"/>
    <w:rsid w:val="000A2D6F"/>
    <w:rsid w:val="000B0F35"/>
    <w:rsid w:val="000B0FD9"/>
    <w:rsid w:val="000B5B54"/>
    <w:rsid w:val="000C0E73"/>
    <w:rsid w:val="000C14A8"/>
    <w:rsid w:val="000C4C25"/>
    <w:rsid w:val="000D1646"/>
    <w:rsid w:val="000D2C8A"/>
    <w:rsid w:val="000D3B1D"/>
    <w:rsid w:val="000D40B9"/>
    <w:rsid w:val="000D57F0"/>
    <w:rsid w:val="000E5B99"/>
    <w:rsid w:val="001015F1"/>
    <w:rsid w:val="00106238"/>
    <w:rsid w:val="0011256F"/>
    <w:rsid w:val="00115F51"/>
    <w:rsid w:val="00116D7F"/>
    <w:rsid w:val="00124838"/>
    <w:rsid w:val="001336B1"/>
    <w:rsid w:val="00133AED"/>
    <w:rsid w:val="00136283"/>
    <w:rsid w:val="00141BF2"/>
    <w:rsid w:val="001441F1"/>
    <w:rsid w:val="00144FCA"/>
    <w:rsid w:val="0014572D"/>
    <w:rsid w:val="00146128"/>
    <w:rsid w:val="00151D1C"/>
    <w:rsid w:val="0015208B"/>
    <w:rsid w:val="00153204"/>
    <w:rsid w:val="00153A81"/>
    <w:rsid w:val="00155DDE"/>
    <w:rsid w:val="00157779"/>
    <w:rsid w:val="00160D2A"/>
    <w:rsid w:val="0016227E"/>
    <w:rsid w:val="0016348A"/>
    <w:rsid w:val="00170A49"/>
    <w:rsid w:val="00171851"/>
    <w:rsid w:val="0018182B"/>
    <w:rsid w:val="0018719D"/>
    <w:rsid w:val="001923E3"/>
    <w:rsid w:val="00193121"/>
    <w:rsid w:val="00196D96"/>
    <w:rsid w:val="001A058F"/>
    <w:rsid w:val="001A0D9C"/>
    <w:rsid w:val="001C2717"/>
    <w:rsid w:val="001D11A7"/>
    <w:rsid w:val="001D3572"/>
    <w:rsid w:val="001D4D14"/>
    <w:rsid w:val="001E02D8"/>
    <w:rsid w:val="001E0EB1"/>
    <w:rsid w:val="001E1E72"/>
    <w:rsid w:val="001E22A3"/>
    <w:rsid w:val="001E45E8"/>
    <w:rsid w:val="001E7EAD"/>
    <w:rsid w:val="00200AEF"/>
    <w:rsid w:val="0020185D"/>
    <w:rsid w:val="00205AC6"/>
    <w:rsid w:val="002148D1"/>
    <w:rsid w:val="00215CB2"/>
    <w:rsid w:val="00222603"/>
    <w:rsid w:val="0023368A"/>
    <w:rsid w:val="00233EC2"/>
    <w:rsid w:val="00235747"/>
    <w:rsid w:val="00237850"/>
    <w:rsid w:val="00240A8F"/>
    <w:rsid w:val="00242179"/>
    <w:rsid w:val="00245EBD"/>
    <w:rsid w:val="00250B78"/>
    <w:rsid w:val="0025462D"/>
    <w:rsid w:val="0025487F"/>
    <w:rsid w:val="00266CF1"/>
    <w:rsid w:val="00280038"/>
    <w:rsid w:val="002846E9"/>
    <w:rsid w:val="0029012B"/>
    <w:rsid w:val="00293599"/>
    <w:rsid w:val="002944CA"/>
    <w:rsid w:val="002976E7"/>
    <w:rsid w:val="00297926"/>
    <w:rsid w:val="002A17AB"/>
    <w:rsid w:val="002A43EE"/>
    <w:rsid w:val="002B2549"/>
    <w:rsid w:val="002B5B5E"/>
    <w:rsid w:val="002B646D"/>
    <w:rsid w:val="002B66E6"/>
    <w:rsid w:val="002C0B6A"/>
    <w:rsid w:val="002C536A"/>
    <w:rsid w:val="002C742A"/>
    <w:rsid w:val="002C7F3A"/>
    <w:rsid w:val="002D2354"/>
    <w:rsid w:val="002D2975"/>
    <w:rsid w:val="002D2E49"/>
    <w:rsid w:val="002E07FA"/>
    <w:rsid w:val="002E59A4"/>
    <w:rsid w:val="002E6BBE"/>
    <w:rsid w:val="003004D6"/>
    <w:rsid w:val="00310A06"/>
    <w:rsid w:val="00311104"/>
    <w:rsid w:val="00314A8C"/>
    <w:rsid w:val="00322F38"/>
    <w:rsid w:val="00327FFA"/>
    <w:rsid w:val="00331642"/>
    <w:rsid w:val="003317B8"/>
    <w:rsid w:val="003352CA"/>
    <w:rsid w:val="00337D0E"/>
    <w:rsid w:val="0034738E"/>
    <w:rsid w:val="0034755D"/>
    <w:rsid w:val="00347EAF"/>
    <w:rsid w:val="00350FF4"/>
    <w:rsid w:val="003525EB"/>
    <w:rsid w:val="0035265B"/>
    <w:rsid w:val="003601D5"/>
    <w:rsid w:val="003602AF"/>
    <w:rsid w:val="0036278F"/>
    <w:rsid w:val="00364812"/>
    <w:rsid w:val="00367B50"/>
    <w:rsid w:val="00367E84"/>
    <w:rsid w:val="00371370"/>
    <w:rsid w:val="00376B4B"/>
    <w:rsid w:val="00381D73"/>
    <w:rsid w:val="00386E3F"/>
    <w:rsid w:val="0038707C"/>
    <w:rsid w:val="00392687"/>
    <w:rsid w:val="003950F4"/>
    <w:rsid w:val="003969A3"/>
    <w:rsid w:val="003A0F42"/>
    <w:rsid w:val="003A55B7"/>
    <w:rsid w:val="003B0DBD"/>
    <w:rsid w:val="003B4ADF"/>
    <w:rsid w:val="003C715A"/>
    <w:rsid w:val="003C7EFA"/>
    <w:rsid w:val="003D0FE8"/>
    <w:rsid w:val="003D19CD"/>
    <w:rsid w:val="003E490D"/>
    <w:rsid w:val="003F354B"/>
    <w:rsid w:val="003F49D8"/>
    <w:rsid w:val="00405F82"/>
    <w:rsid w:val="00412623"/>
    <w:rsid w:val="00430B1E"/>
    <w:rsid w:val="004334DF"/>
    <w:rsid w:val="00435F20"/>
    <w:rsid w:val="00441DD9"/>
    <w:rsid w:val="00450A16"/>
    <w:rsid w:val="0045616D"/>
    <w:rsid w:val="00460979"/>
    <w:rsid w:val="00470CC0"/>
    <w:rsid w:val="0047553D"/>
    <w:rsid w:val="00485169"/>
    <w:rsid w:val="004922C0"/>
    <w:rsid w:val="00494A67"/>
    <w:rsid w:val="004A01F9"/>
    <w:rsid w:val="004B1D69"/>
    <w:rsid w:val="004B5A20"/>
    <w:rsid w:val="004D0B35"/>
    <w:rsid w:val="004D42D9"/>
    <w:rsid w:val="004D60FA"/>
    <w:rsid w:val="004E0F54"/>
    <w:rsid w:val="004E2658"/>
    <w:rsid w:val="004E63A7"/>
    <w:rsid w:val="004F0633"/>
    <w:rsid w:val="004F74A7"/>
    <w:rsid w:val="00502F42"/>
    <w:rsid w:val="005049EA"/>
    <w:rsid w:val="005245F8"/>
    <w:rsid w:val="00527830"/>
    <w:rsid w:val="005309C7"/>
    <w:rsid w:val="00534827"/>
    <w:rsid w:val="005356A5"/>
    <w:rsid w:val="005362C6"/>
    <w:rsid w:val="00537754"/>
    <w:rsid w:val="00552409"/>
    <w:rsid w:val="0056029E"/>
    <w:rsid w:val="00562BB6"/>
    <w:rsid w:val="0056458D"/>
    <w:rsid w:val="00570A9A"/>
    <w:rsid w:val="00572E92"/>
    <w:rsid w:val="005833B5"/>
    <w:rsid w:val="005870A1"/>
    <w:rsid w:val="00590C4E"/>
    <w:rsid w:val="00592C6B"/>
    <w:rsid w:val="0059325C"/>
    <w:rsid w:val="005936A8"/>
    <w:rsid w:val="005A06A1"/>
    <w:rsid w:val="005B0C3F"/>
    <w:rsid w:val="005B3318"/>
    <w:rsid w:val="005B4C10"/>
    <w:rsid w:val="005C0F3D"/>
    <w:rsid w:val="005C2DF6"/>
    <w:rsid w:val="005C38BD"/>
    <w:rsid w:val="005C431F"/>
    <w:rsid w:val="005C47EE"/>
    <w:rsid w:val="005C552D"/>
    <w:rsid w:val="005D64C6"/>
    <w:rsid w:val="005E34FB"/>
    <w:rsid w:val="005E36F2"/>
    <w:rsid w:val="005E4C1C"/>
    <w:rsid w:val="005E50C9"/>
    <w:rsid w:val="005E5BC9"/>
    <w:rsid w:val="005E7C33"/>
    <w:rsid w:val="006022C1"/>
    <w:rsid w:val="006032F6"/>
    <w:rsid w:val="00604DDF"/>
    <w:rsid w:val="00605A29"/>
    <w:rsid w:val="006067CD"/>
    <w:rsid w:val="00607287"/>
    <w:rsid w:val="006121F1"/>
    <w:rsid w:val="00621F6E"/>
    <w:rsid w:val="0062577D"/>
    <w:rsid w:val="0062620E"/>
    <w:rsid w:val="006304E5"/>
    <w:rsid w:val="006310C3"/>
    <w:rsid w:val="006569D2"/>
    <w:rsid w:val="0065720E"/>
    <w:rsid w:val="00657426"/>
    <w:rsid w:val="00661EE8"/>
    <w:rsid w:val="0066506E"/>
    <w:rsid w:val="00670434"/>
    <w:rsid w:val="00671698"/>
    <w:rsid w:val="00677ADE"/>
    <w:rsid w:val="00682B86"/>
    <w:rsid w:val="00683F76"/>
    <w:rsid w:val="006844C5"/>
    <w:rsid w:val="006846BD"/>
    <w:rsid w:val="00686616"/>
    <w:rsid w:val="00691550"/>
    <w:rsid w:val="00691D7A"/>
    <w:rsid w:val="006968BB"/>
    <w:rsid w:val="006A3E72"/>
    <w:rsid w:val="006A54E3"/>
    <w:rsid w:val="006A663A"/>
    <w:rsid w:val="006A749B"/>
    <w:rsid w:val="006B1624"/>
    <w:rsid w:val="006B77F7"/>
    <w:rsid w:val="006C6A87"/>
    <w:rsid w:val="006D5246"/>
    <w:rsid w:val="006D7819"/>
    <w:rsid w:val="006E0C89"/>
    <w:rsid w:val="006E22F2"/>
    <w:rsid w:val="006E5952"/>
    <w:rsid w:val="006F03A0"/>
    <w:rsid w:val="00702AB6"/>
    <w:rsid w:val="00704091"/>
    <w:rsid w:val="007046C9"/>
    <w:rsid w:val="00717649"/>
    <w:rsid w:val="00726013"/>
    <w:rsid w:val="00726919"/>
    <w:rsid w:val="007320C4"/>
    <w:rsid w:val="007347E7"/>
    <w:rsid w:val="00736C86"/>
    <w:rsid w:val="00736D03"/>
    <w:rsid w:val="00743818"/>
    <w:rsid w:val="00746664"/>
    <w:rsid w:val="00757A2B"/>
    <w:rsid w:val="007617FF"/>
    <w:rsid w:val="007665A6"/>
    <w:rsid w:val="00766A45"/>
    <w:rsid w:val="0077029C"/>
    <w:rsid w:val="00774C00"/>
    <w:rsid w:val="007756AE"/>
    <w:rsid w:val="0077638D"/>
    <w:rsid w:val="00776B6B"/>
    <w:rsid w:val="00777058"/>
    <w:rsid w:val="00785B0A"/>
    <w:rsid w:val="0078652E"/>
    <w:rsid w:val="00791C20"/>
    <w:rsid w:val="0079413F"/>
    <w:rsid w:val="007A283F"/>
    <w:rsid w:val="007A39A4"/>
    <w:rsid w:val="007B0FF8"/>
    <w:rsid w:val="007B10EF"/>
    <w:rsid w:val="007C09BB"/>
    <w:rsid w:val="007C15B2"/>
    <w:rsid w:val="007C473B"/>
    <w:rsid w:val="007D418F"/>
    <w:rsid w:val="007D54CA"/>
    <w:rsid w:val="007E08AF"/>
    <w:rsid w:val="007E4B81"/>
    <w:rsid w:val="007F0DC3"/>
    <w:rsid w:val="00801E4E"/>
    <w:rsid w:val="00805841"/>
    <w:rsid w:val="0080766F"/>
    <w:rsid w:val="008206CC"/>
    <w:rsid w:val="0082279C"/>
    <w:rsid w:val="00830AFF"/>
    <w:rsid w:val="0083439B"/>
    <w:rsid w:val="0083600B"/>
    <w:rsid w:val="008366A9"/>
    <w:rsid w:val="0084015F"/>
    <w:rsid w:val="0084664D"/>
    <w:rsid w:val="00852391"/>
    <w:rsid w:val="008526D9"/>
    <w:rsid w:val="00854FE0"/>
    <w:rsid w:val="00862357"/>
    <w:rsid w:val="008707A0"/>
    <w:rsid w:val="0087523D"/>
    <w:rsid w:val="0089155A"/>
    <w:rsid w:val="00891897"/>
    <w:rsid w:val="00894C5D"/>
    <w:rsid w:val="008A4F50"/>
    <w:rsid w:val="008A611C"/>
    <w:rsid w:val="008B0452"/>
    <w:rsid w:val="008B508D"/>
    <w:rsid w:val="008C3026"/>
    <w:rsid w:val="008D1F05"/>
    <w:rsid w:val="008D6DB3"/>
    <w:rsid w:val="008F0EFA"/>
    <w:rsid w:val="008F53E3"/>
    <w:rsid w:val="008F647F"/>
    <w:rsid w:val="00904501"/>
    <w:rsid w:val="00907D69"/>
    <w:rsid w:val="0091238D"/>
    <w:rsid w:val="009134C6"/>
    <w:rsid w:val="00916C4D"/>
    <w:rsid w:val="0091778F"/>
    <w:rsid w:val="00920FD4"/>
    <w:rsid w:val="00923407"/>
    <w:rsid w:val="00935B2A"/>
    <w:rsid w:val="009376D6"/>
    <w:rsid w:val="00940348"/>
    <w:rsid w:val="00944B8F"/>
    <w:rsid w:val="009509D4"/>
    <w:rsid w:val="00955ED9"/>
    <w:rsid w:val="00961F0E"/>
    <w:rsid w:val="00963212"/>
    <w:rsid w:val="00963319"/>
    <w:rsid w:val="00964729"/>
    <w:rsid w:val="00965620"/>
    <w:rsid w:val="009743F5"/>
    <w:rsid w:val="0097442B"/>
    <w:rsid w:val="00980448"/>
    <w:rsid w:val="00980C95"/>
    <w:rsid w:val="00980F24"/>
    <w:rsid w:val="00983944"/>
    <w:rsid w:val="00986537"/>
    <w:rsid w:val="00986DEC"/>
    <w:rsid w:val="0098799F"/>
    <w:rsid w:val="00994824"/>
    <w:rsid w:val="00996AB1"/>
    <w:rsid w:val="009A2229"/>
    <w:rsid w:val="009B02E6"/>
    <w:rsid w:val="009B278A"/>
    <w:rsid w:val="009C4CEB"/>
    <w:rsid w:val="009C7EED"/>
    <w:rsid w:val="009D0794"/>
    <w:rsid w:val="009D2371"/>
    <w:rsid w:val="009D2ED5"/>
    <w:rsid w:val="009D6510"/>
    <w:rsid w:val="009E090F"/>
    <w:rsid w:val="009E4FEF"/>
    <w:rsid w:val="009F10DE"/>
    <w:rsid w:val="009F13B1"/>
    <w:rsid w:val="009F7B52"/>
    <w:rsid w:val="00A00BC3"/>
    <w:rsid w:val="00A017E5"/>
    <w:rsid w:val="00A07A1A"/>
    <w:rsid w:val="00A24611"/>
    <w:rsid w:val="00A25EEF"/>
    <w:rsid w:val="00A32779"/>
    <w:rsid w:val="00A4500A"/>
    <w:rsid w:val="00A570C8"/>
    <w:rsid w:val="00A57318"/>
    <w:rsid w:val="00A71635"/>
    <w:rsid w:val="00A74618"/>
    <w:rsid w:val="00A810B7"/>
    <w:rsid w:val="00A964F3"/>
    <w:rsid w:val="00AA1C9E"/>
    <w:rsid w:val="00AA3356"/>
    <w:rsid w:val="00AA4B26"/>
    <w:rsid w:val="00AB09E5"/>
    <w:rsid w:val="00AB45B4"/>
    <w:rsid w:val="00AC72CB"/>
    <w:rsid w:val="00AC7EE6"/>
    <w:rsid w:val="00AD2D62"/>
    <w:rsid w:val="00AE10BB"/>
    <w:rsid w:val="00AE1B40"/>
    <w:rsid w:val="00AE6C7F"/>
    <w:rsid w:val="00AE785F"/>
    <w:rsid w:val="00AF0E76"/>
    <w:rsid w:val="00AF2FD3"/>
    <w:rsid w:val="00AF4013"/>
    <w:rsid w:val="00AF7168"/>
    <w:rsid w:val="00AF7733"/>
    <w:rsid w:val="00B00349"/>
    <w:rsid w:val="00B019EF"/>
    <w:rsid w:val="00B05FF7"/>
    <w:rsid w:val="00B12EB2"/>
    <w:rsid w:val="00B13192"/>
    <w:rsid w:val="00B20921"/>
    <w:rsid w:val="00B21CB0"/>
    <w:rsid w:val="00B22934"/>
    <w:rsid w:val="00B25EC2"/>
    <w:rsid w:val="00B31177"/>
    <w:rsid w:val="00B3495D"/>
    <w:rsid w:val="00B3721D"/>
    <w:rsid w:val="00B37C60"/>
    <w:rsid w:val="00B40AF5"/>
    <w:rsid w:val="00B43B6A"/>
    <w:rsid w:val="00B469A4"/>
    <w:rsid w:val="00B519D5"/>
    <w:rsid w:val="00B51D0F"/>
    <w:rsid w:val="00B556A6"/>
    <w:rsid w:val="00B56C10"/>
    <w:rsid w:val="00B612B3"/>
    <w:rsid w:val="00B64FF7"/>
    <w:rsid w:val="00B66410"/>
    <w:rsid w:val="00B71E0F"/>
    <w:rsid w:val="00BA7459"/>
    <w:rsid w:val="00BB1778"/>
    <w:rsid w:val="00BB564B"/>
    <w:rsid w:val="00BB5CD5"/>
    <w:rsid w:val="00BC06AD"/>
    <w:rsid w:val="00BD58CD"/>
    <w:rsid w:val="00BD6142"/>
    <w:rsid w:val="00BD6593"/>
    <w:rsid w:val="00BD741E"/>
    <w:rsid w:val="00BE091E"/>
    <w:rsid w:val="00BE1EB8"/>
    <w:rsid w:val="00BE21A5"/>
    <w:rsid w:val="00BE6487"/>
    <w:rsid w:val="00BE65B0"/>
    <w:rsid w:val="00BF3DE1"/>
    <w:rsid w:val="00BF5BED"/>
    <w:rsid w:val="00C16A51"/>
    <w:rsid w:val="00C214A7"/>
    <w:rsid w:val="00C21893"/>
    <w:rsid w:val="00C26614"/>
    <w:rsid w:val="00C31CEF"/>
    <w:rsid w:val="00C3467B"/>
    <w:rsid w:val="00C35320"/>
    <w:rsid w:val="00C40F62"/>
    <w:rsid w:val="00C41713"/>
    <w:rsid w:val="00C423AD"/>
    <w:rsid w:val="00C4401D"/>
    <w:rsid w:val="00C44A62"/>
    <w:rsid w:val="00C51748"/>
    <w:rsid w:val="00C52EB3"/>
    <w:rsid w:val="00C53501"/>
    <w:rsid w:val="00C56CA6"/>
    <w:rsid w:val="00C620B0"/>
    <w:rsid w:val="00C73402"/>
    <w:rsid w:val="00C7717F"/>
    <w:rsid w:val="00C80BEA"/>
    <w:rsid w:val="00C81734"/>
    <w:rsid w:val="00C82A86"/>
    <w:rsid w:val="00C90419"/>
    <w:rsid w:val="00C91C37"/>
    <w:rsid w:val="00C95C91"/>
    <w:rsid w:val="00C9700D"/>
    <w:rsid w:val="00C97B3E"/>
    <w:rsid w:val="00CA25C6"/>
    <w:rsid w:val="00CA4416"/>
    <w:rsid w:val="00CA5330"/>
    <w:rsid w:val="00CB5A2A"/>
    <w:rsid w:val="00CB761C"/>
    <w:rsid w:val="00CC40CE"/>
    <w:rsid w:val="00CC44E9"/>
    <w:rsid w:val="00CC5E3B"/>
    <w:rsid w:val="00CD0B93"/>
    <w:rsid w:val="00CD1189"/>
    <w:rsid w:val="00CD11EE"/>
    <w:rsid w:val="00CD26BB"/>
    <w:rsid w:val="00CD7C6B"/>
    <w:rsid w:val="00CE350A"/>
    <w:rsid w:val="00CF141E"/>
    <w:rsid w:val="00CF704E"/>
    <w:rsid w:val="00D031BA"/>
    <w:rsid w:val="00D0568E"/>
    <w:rsid w:val="00D23E06"/>
    <w:rsid w:val="00D26463"/>
    <w:rsid w:val="00D30A2D"/>
    <w:rsid w:val="00D3275D"/>
    <w:rsid w:val="00D32B81"/>
    <w:rsid w:val="00D374C7"/>
    <w:rsid w:val="00D43A61"/>
    <w:rsid w:val="00D469B3"/>
    <w:rsid w:val="00D60D4F"/>
    <w:rsid w:val="00D63F20"/>
    <w:rsid w:val="00D70943"/>
    <w:rsid w:val="00D720E8"/>
    <w:rsid w:val="00D72EF0"/>
    <w:rsid w:val="00D763C3"/>
    <w:rsid w:val="00D76B1D"/>
    <w:rsid w:val="00D774D4"/>
    <w:rsid w:val="00D90D3C"/>
    <w:rsid w:val="00D9618C"/>
    <w:rsid w:val="00DA489F"/>
    <w:rsid w:val="00DA62C5"/>
    <w:rsid w:val="00DA694A"/>
    <w:rsid w:val="00DA6E17"/>
    <w:rsid w:val="00DB29DD"/>
    <w:rsid w:val="00DB422C"/>
    <w:rsid w:val="00DC32E7"/>
    <w:rsid w:val="00DC4884"/>
    <w:rsid w:val="00DC5870"/>
    <w:rsid w:val="00DC5DC4"/>
    <w:rsid w:val="00DD1D4F"/>
    <w:rsid w:val="00DD32EA"/>
    <w:rsid w:val="00DD3583"/>
    <w:rsid w:val="00DD7930"/>
    <w:rsid w:val="00DE02C1"/>
    <w:rsid w:val="00DE12C3"/>
    <w:rsid w:val="00DF2855"/>
    <w:rsid w:val="00DF48E0"/>
    <w:rsid w:val="00E02346"/>
    <w:rsid w:val="00E1757C"/>
    <w:rsid w:val="00E2131F"/>
    <w:rsid w:val="00E215D9"/>
    <w:rsid w:val="00E30D0C"/>
    <w:rsid w:val="00E32E6B"/>
    <w:rsid w:val="00E355CD"/>
    <w:rsid w:val="00E36CDE"/>
    <w:rsid w:val="00E41B8B"/>
    <w:rsid w:val="00E479CE"/>
    <w:rsid w:val="00E5011D"/>
    <w:rsid w:val="00E5159B"/>
    <w:rsid w:val="00E52DB6"/>
    <w:rsid w:val="00E53E83"/>
    <w:rsid w:val="00E57397"/>
    <w:rsid w:val="00E6157B"/>
    <w:rsid w:val="00E62F77"/>
    <w:rsid w:val="00E701B8"/>
    <w:rsid w:val="00E70EF8"/>
    <w:rsid w:val="00E737C4"/>
    <w:rsid w:val="00E77C8B"/>
    <w:rsid w:val="00E803A5"/>
    <w:rsid w:val="00E81928"/>
    <w:rsid w:val="00E850E4"/>
    <w:rsid w:val="00E8607A"/>
    <w:rsid w:val="00E94408"/>
    <w:rsid w:val="00EA4CEE"/>
    <w:rsid w:val="00EB0B5B"/>
    <w:rsid w:val="00EB34C4"/>
    <w:rsid w:val="00EB38BF"/>
    <w:rsid w:val="00EC1E11"/>
    <w:rsid w:val="00EC45E4"/>
    <w:rsid w:val="00EC69A7"/>
    <w:rsid w:val="00EC6C2D"/>
    <w:rsid w:val="00ED08FD"/>
    <w:rsid w:val="00ED37FD"/>
    <w:rsid w:val="00ED59D7"/>
    <w:rsid w:val="00EE3D35"/>
    <w:rsid w:val="00EF1050"/>
    <w:rsid w:val="00EF29A3"/>
    <w:rsid w:val="00F064CB"/>
    <w:rsid w:val="00F07118"/>
    <w:rsid w:val="00F07868"/>
    <w:rsid w:val="00F1149E"/>
    <w:rsid w:val="00F3050D"/>
    <w:rsid w:val="00F405F2"/>
    <w:rsid w:val="00F456D1"/>
    <w:rsid w:val="00F476C3"/>
    <w:rsid w:val="00F52992"/>
    <w:rsid w:val="00F529EC"/>
    <w:rsid w:val="00F62CA6"/>
    <w:rsid w:val="00F70217"/>
    <w:rsid w:val="00F7033D"/>
    <w:rsid w:val="00F71C05"/>
    <w:rsid w:val="00F72C2A"/>
    <w:rsid w:val="00F73B83"/>
    <w:rsid w:val="00F821C6"/>
    <w:rsid w:val="00F82382"/>
    <w:rsid w:val="00F86C5B"/>
    <w:rsid w:val="00F87D0C"/>
    <w:rsid w:val="00F911BD"/>
    <w:rsid w:val="00F91819"/>
    <w:rsid w:val="00F95EED"/>
    <w:rsid w:val="00F97750"/>
    <w:rsid w:val="00FA4691"/>
    <w:rsid w:val="00FA4E62"/>
    <w:rsid w:val="00FB30D9"/>
    <w:rsid w:val="00FB405C"/>
    <w:rsid w:val="00FB426B"/>
    <w:rsid w:val="00FB7705"/>
    <w:rsid w:val="00FC23D6"/>
    <w:rsid w:val="00FC305C"/>
    <w:rsid w:val="00FC56BF"/>
    <w:rsid w:val="00FC72F2"/>
    <w:rsid w:val="00FD3E4B"/>
    <w:rsid w:val="00FE0131"/>
    <w:rsid w:val="00FE72A8"/>
    <w:rsid w:val="00FF48D5"/>
    <w:rsid w:val="00FF6B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Emphasis" w:qFormat="1"/>
    <w:lsdException w:name="Normal (Web)" w:uiPriority="99"/>
  </w:latentStyles>
  <w:style w:type="paragraph" w:default="1" w:styleId="Normal">
    <w:name w:val="Normal"/>
    <w:qFormat/>
    <w:rsid w:val="00E2131F"/>
    <w:pPr>
      <w:widowControl w:val="0"/>
      <w:suppressAutoHyphens/>
      <w:autoSpaceDN w:val="0"/>
      <w:spacing w:after="0" w:line="240" w:lineRule="auto"/>
      <w:textAlignment w:val="baseline"/>
    </w:pPr>
    <w:rPr>
      <w:rFonts w:ascii="Cambria" w:eastAsia="Cambria" w:hAnsi="Cambria" w:cs="Times New Roman"/>
      <w:kern w:val="3"/>
      <w:sz w:val="24"/>
      <w:szCs w:val="24"/>
    </w:rPr>
  </w:style>
  <w:style w:type="paragraph" w:styleId="Heading1">
    <w:name w:val="heading 1"/>
    <w:basedOn w:val="Standard"/>
    <w:next w:val="Normal"/>
    <w:link w:val="Heading1Char"/>
    <w:rsid w:val="00E2131F"/>
    <w:pPr>
      <w:keepNext/>
      <w:keepLines/>
      <w:widowControl w:val="0"/>
      <w:numPr>
        <w:numId w:val="1"/>
      </w:numPr>
      <w:suppressLineNumbers/>
      <w:spacing w:before="480" w:after="480"/>
      <w:jc w:val="center"/>
      <w:outlineLvl w:val="0"/>
    </w:pPr>
    <w:rPr>
      <w:rFonts w:ascii="Calibri" w:eastAsia="Times New Roman" w:hAnsi="Calibri"/>
      <w:b/>
      <w:bCs/>
      <w:caps/>
    </w:rPr>
  </w:style>
  <w:style w:type="paragraph" w:styleId="Heading2">
    <w:name w:val="heading 2"/>
    <w:basedOn w:val="Standard"/>
    <w:next w:val="Normal"/>
    <w:link w:val="Heading2Char"/>
    <w:rsid w:val="00986537"/>
    <w:pPr>
      <w:keepNext/>
      <w:keepLines/>
      <w:widowControl w:val="0"/>
      <w:numPr>
        <w:ilvl w:val="1"/>
        <w:numId w:val="1"/>
      </w:numPr>
      <w:suppressLineNumbers/>
      <w:spacing w:before="200" w:after="120"/>
      <w:outlineLvl w:val="1"/>
    </w:pPr>
    <w:rPr>
      <w:rFonts w:ascii="Calibri" w:eastAsia="Times New Roman" w:hAnsi="Calibri"/>
      <w:b/>
      <w:bCs/>
    </w:rPr>
  </w:style>
  <w:style w:type="paragraph" w:styleId="Heading3">
    <w:name w:val="heading 3"/>
    <w:basedOn w:val="Standard"/>
    <w:next w:val="Normal"/>
    <w:link w:val="Heading3Char"/>
    <w:rsid w:val="00367B50"/>
    <w:pPr>
      <w:keepNext/>
      <w:keepLines/>
      <w:widowControl w:val="0"/>
      <w:numPr>
        <w:ilvl w:val="2"/>
        <w:numId w:val="1"/>
      </w:numPr>
      <w:suppressLineNumbers/>
      <w:spacing w:before="200"/>
      <w:outlineLvl w:val="2"/>
    </w:pPr>
    <w:rPr>
      <w:rFonts w:ascii="Calibri" w:eastAsia="Times New Roman" w:hAnsi="Calibri"/>
      <w:i/>
      <w:iCs/>
    </w:rPr>
  </w:style>
  <w:style w:type="paragraph" w:styleId="Heading4">
    <w:name w:val="heading 4"/>
    <w:basedOn w:val="Standard"/>
    <w:next w:val="Normal"/>
    <w:link w:val="Heading4Char"/>
    <w:rsid w:val="00E2131F"/>
    <w:pPr>
      <w:keepNext/>
      <w:numPr>
        <w:ilvl w:val="3"/>
        <w:numId w:val="1"/>
      </w:numPr>
      <w:spacing w:before="240" w:after="60"/>
      <w:outlineLvl w:val="3"/>
    </w:pPr>
    <w:rPr>
      <w:rFonts w:cs="F"/>
      <w:b/>
      <w:bCs/>
      <w:sz w:val="28"/>
      <w:szCs w:val="28"/>
    </w:rPr>
  </w:style>
  <w:style w:type="paragraph" w:styleId="Heading5">
    <w:name w:val="heading 5"/>
    <w:basedOn w:val="Standard"/>
    <w:next w:val="Normal"/>
    <w:link w:val="Heading5Char"/>
    <w:rsid w:val="00E2131F"/>
    <w:pPr>
      <w:numPr>
        <w:ilvl w:val="4"/>
        <w:numId w:val="1"/>
      </w:numPr>
      <w:spacing w:before="240" w:after="60"/>
      <w:outlineLvl w:val="4"/>
    </w:pPr>
    <w:rPr>
      <w:rFonts w:cs="F"/>
      <w:b/>
      <w:bCs/>
      <w:i/>
      <w:iCs/>
      <w:sz w:val="26"/>
      <w:szCs w:val="26"/>
    </w:rPr>
  </w:style>
  <w:style w:type="paragraph" w:styleId="Heading6">
    <w:name w:val="heading 6"/>
    <w:basedOn w:val="Standard"/>
    <w:next w:val="Normal"/>
    <w:link w:val="Heading6Char"/>
    <w:rsid w:val="00E2131F"/>
    <w:pPr>
      <w:numPr>
        <w:ilvl w:val="5"/>
        <w:numId w:val="1"/>
      </w:numPr>
      <w:spacing w:before="240" w:after="60"/>
      <w:outlineLvl w:val="5"/>
    </w:pPr>
    <w:rPr>
      <w:rFonts w:cs="F"/>
      <w:b/>
      <w:bCs/>
      <w:sz w:val="22"/>
      <w:szCs w:val="22"/>
    </w:rPr>
  </w:style>
  <w:style w:type="paragraph" w:styleId="Heading7">
    <w:name w:val="heading 7"/>
    <w:basedOn w:val="Standard"/>
    <w:next w:val="Normal"/>
    <w:link w:val="Heading7Char"/>
    <w:rsid w:val="00E2131F"/>
    <w:pPr>
      <w:numPr>
        <w:ilvl w:val="6"/>
        <w:numId w:val="1"/>
      </w:numPr>
      <w:spacing w:before="240" w:after="60"/>
      <w:outlineLvl w:val="6"/>
    </w:pPr>
    <w:rPr>
      <w:rFonts w:cs="F"/>
    </w:rPr>
  </w:style>
  <w:style w:type="paragraph" w:styleId="Heading8">
    <w:name w:val="heading 8"/>
    <w:basedOn w:val="Standard"/>
    <w:next w:val="Normal"/>
    <w:link w:val="Heading8Char"/>
    <w:rsid w:val="00E2131F"/>
    <w:pPr>
      <w:numPr>
        <w:ilvl w:val="7"/>
        <w:numId w:val="1"/>
      </w:numPr>
      <w:spacing w:before="240" w:after="60"/>
      <w:outlineLvl w:val="7"/>
    </w:pPr>
    <w:rPr>
      <w:rFonts w:cs="F"/>
      <w:i/>
      <w:iCs/>
    </w:rPr>
  </w:style>
  <w:style w:type="paragraph" w:styleId="Heading9">
    <w:name w:val="heading 9"/>
    <w:basedOn w:val="Standard"/>
    <w:next w:val="Normal"/>
    <w:link w:val="Heading9Char"/>
    <w:rsid w:val="00E2131F"/>
    <w:pPr>
      <w:numPr>
        <w:ilvl w:val="8"/>
        <w:numId w:val="1"/>
      </w:numPr>
      <w:spacing w:before="240" w:after="60"/>
      <w:outlineLvl w:val="8"/>
    </w:pPr>
    <w:rPr>
      <w:rFonts w:ascii="Calibri" w:hAnsi="Calibri" w:cs="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E2131F"/>
    <w:rPr>
      <w:rFonts w:ascii="Tahoma" w:hAnsi="Tahoma" w:cs="Tahoma"/>
      <w:sz w:val="16"/>
      <w:szCs w:val="16"/>
    </w:rPr>
  </w:style>
  <w:style w:type="character" w:customStyle="1" w:styleId="BalloonTextChar">
    <w:name w:val="Balloon Text Char"/>
    <w:basedOn w:val="DefaultParagraphFont"/>
    <w:uiPriority w:val="99"/>
    <w:semiHidden/>
    <w:rsid w:val="001A176A"/>
    <w:rPr>
      <w:rFonts w:ascii="Lucida Grande" w:hAnsi="Lucida Grande"/>
      <w:sz w:val="18"/>
      <w:szCs w:val="18"/>
    </w:rPr>
  </w:style>
  <w:style w:type="character" w:customStyle="1" w:styleId="Heading1Char">
    <w:name w:val="Heading 1 Char"/>
    <w:basedOn w:val="DefaultParagraphFont"/>
    <w:link w:val="Heading1"/>
    <w:rsid w:val="00E2131F"/>
    <w:rPr>
      <w:rFonts w:ascii="Calibri" w:eastAsia="Times New Roman" w:hAnsi="Calibri" w:cs="Times New Roman"/>
      <w:b/>
      <w:bCs/>
      <w:caps/>
      <w:kern w:val="3"/>
      <w:sz w:val="24"/>
      <w:szCs w:val="24"/>
    </w:rPr>
  </w:style>
  <w:style w:type="character" w:customStyle="1" w:styleId="Heading2Char">
    <w:name w:val="Heading 2 Char"/>
    <w:basedOn w:val="DefaultParagraphFont"/>
    <w:link w:val="Heading2"/>
    <w:rsid w:val="00986537"/>
    <w:rPr>
      <w:rFonts w:ascii="Calibri" w:eastAsia="Times New Roman" w:hAnsi="Calibri" w:cs="Times New Roman"/>
      <w:b/>
      <w:bCs/>
      <w:kern w:val="3"/>
      <w:sz w:val="24"/>
      <w:szCs w:val="24"/>
    </w:rPr>
  </w:style>
  <w:style w:type="character" w:customStyle="1" w:styleId="Heading3Char">
    <w:name w:val="Heading 3 Char"/>
    <w:basedOn w:val="DefaultParagraphFont"/>
    <w:link w:val="Heading3"/>
    <w:rsid w:val="00367B50"/>
    <w:rPr>
      <w:rFonts w:ascii="Calibri" w:eastAsia="Times New Roman" w:hAnsi="Calibri" w:cs="Times New Roman"/>
      <w:i/>
      <w:iCs/>
      <w:kern w:val="3"/>
      <w:sz w:val="24"/>
      <w:szCs w:val="24"/>
    </w:rPr>
  </w:style>
  <w:style w:type="character" w:customStyle="1" w:styleId="Heading4Char">
    <w:name w:val="Heading 4 Char"/>
    <w:basedOn w:val="DefaultParagraphFont"/>
    <w:link w:val="Heading4"/>
    <w:rsid w:val="00E2131F"/>
    <w:rPr>
      <w:rFonts w:ascii="Cambria" w:eastAsia="Cambria" w:hAnsi="Cambria" w:cs="F"/>
      <w:b/>
      <w:bCs/>
      <w:kern w:val="3"/>
      <w:sz w:val="28"/>
      <w:szCs w:val="28"/>
    </w:rPr>
  </w:style>
  <w:style w:type="character" w:customStyle="1" w:styleId="Heading5Char">
    <w:name w:val="Heading 5 Char"/>
    <w:basedOn w:val="DefaultParagraphFont"/>
    <w:link w:val="Heading5"/>
    <w:rsid w:val="00E2131F"/>
    <w:rPr>
      <w:rFonts w:ascii="Cambria" w:eastAsia="Cambria" w:hAnsi="Cambria" w:cs="F"/>
      <w:b/>
      <w:bCs/>
      <w:i/>
      <w:iCs/>
      <w:kern w:val="3"/>
      <w:sz w:val="26"/>
      <w:szCs w:val="26"/>
    </w:rPr>
  </w:style>
  <w:style w:type="character" w:customStyle="1" w:styleId="Heading6Char">
    <w:name w:val="Heading 6 Char"/>
    <w:basedOn w:val="DefaultParagraphFont"/>
    <w:link w:val="Heading6"/>
    <w:rsid w:val="00E2131F"/>
    <w:rPr>
      <w:rFonts w:ascii="Cambria" w:eastAsia="Cambria" w:hAnsi="Cambria" w:cs="F"/>
      <w:b/>
      <w:bCs/>
      <w:kern w:val="3"/>
    </w:rPr>
  </w:style>
  <w:style w:type="character" w:customStyle="1" w:styleId="Heading7Char">
    <w:name w:val="Heading 7 Char"/>
    <w:basedOn w:val="DefaultParagraphFont"/>
    <w:link w:val="Heading7"/>
    <w:rsid w:val="00E2131F"/>
    <w:rPr>
      <w:rFonts w:ascii="Cambria" w:eastAsia="Cambria" w:hAnsi="Cambria" w:cs="F"/>
      <w:kern w:val="3"/>
      <w:sz w:val="24"/>
      <w:szCs w:val="24"/>
    </w:rPr>
  </w:style>
  <w:style w:type="character" w:customStyle="1" w:styleId="Heading8Char">
    <w:name w:val="Heading 8 Char"/>
    <w:basedOn w:val="DefaultParagraphFont"/>
    <w:link w:val="Heading8"/>
    <w:rsid w:val="00E2131F"/>
    <w:rPr>
      <w:rFonts w:ascii="Cambria" w:eastAsia="Cambria" w:hAnsi="Cambria" w:cs="F"/>
      <w:i/>
      <w:iCs/>
      <w:kern w:val="3"/>
      <w:sz w:val="24"/>
      <w:szCs w:val="24"/>
    </w:rPr>
  </w:style>
  <w:style w:type="character" w:customStyle="1" w:styleId="Heading9Char">
    <w:name w:val="Heading 9 Char"/>
    <w:basedOn w:val="DefaultParagraphFont"/>
    <w:link w:val="Heading9"/>
    <w:rsid w:val="00E2131F"/>
    <w:rPr>
      <w:rFonts w:ascii="Calibri" w:eastAsia="Cambria" w:hAnsi="Calibri" w:cs="F"/>
      <w:kern w:val="3"/>
    </w:rPr>
  </w:style>
  <w:style w:type="numbering" w:customStyle="1" w:styleId="WWOutlineListStyle">
    <w:name w:val="WW_OutlineListStyle"/>
    <w:basedOn w:val="NoList"/>
    <w:rsid w:val="00E2131F"/>
    <w:pPr>
      <w:numPr>
        <w:numId w:val="1"/>
      </w:numPr>
    </w:pPr>
  </w:style>
  <w:style w:type="paragraph" w:customStyle="1" w:styleId="Standard">
    <w:name w:val="Standard"/>
    <w:rsid w:val="00E2131F"/>
    <w:pPr>
      <w:suppressAutoHyphens/>
      <w:autoSpaceDN w:val="0"/>
      <w:spacing w:after="0" w:line="240" w:lineRule="auto"/>
      <w:textAlignment w:val="baseline"/>
    </w:pPr>
    <w:rPr>
      <w:rFonts w:ascii="Cambria" w:eastAsia="Cambria" w:hAnsi="Cambria" w:cs="Times New Roman"/>
      <w:kern w:val="3"/>
      <w:sz w:val="24"/>
      <w:szCs w:val="24"/>
    </w:rPr>
  </w:style>
  <w:style w:type="paragraph" w:customStyle="1" w:styleId="ColorfulList-Accent11">
    <w:name w:val="Colorful List - Accent 11"/>
    <w:basedOn w:val="Standard"/>
    <w:uiPriority w:val="34"/>
    <w:qFormat/>
    <w:rsid w:val="00E2131F"/>
    <w:pPr>
      <w:ind w:left="720"/>
    </w:pPr>
  </w:style>
  <w:style w:type="paragraph" w:styleId="ListParagraph">
    <w:name w:val="List Paragraph"/>
    <w:basedOn w:val="Standard"/>
    <w:uiPriority w:val="34"/>
    <w:qFormat/>
    <w:rsid w:val="00E2131F"/>
    <w:pPr>
      <w:ind w:left="720"/>
    </w:pPr>
  </w:style>
  <w:style w:type="paragraph" w:styleId="CommentText">
    <w:name w:val="annotation text"/>
    <w:basedOn w:val="Standard"/>
    <w:link w:val="CommentTextChar"/>
    <w:uiPriority w:val="99"/>
    <w:rsid w:val="00E2131F"/>
  </w:style>
  <w:style w:type="character" w:customStyle="1" w:styleId="CommentTextChar">
    <w:name w:val="Comment Text Char"/>
    <w:basedOn w:val="DefaultParagraphFont"/>
    <w:link w:val="CommentText"/>
    <w:uiPriority w:val="99"/>
    <w:rsid w:val="00E2131F"/>
    <w:rPr>
      <w:rFonts w:ascii="Cambria" w:eastAsia="Cambria" w:hAnsi="Cambria" w:cs="Times New Roman"/>
      <w:kern w:val="3"/>
      <w:sz w:val="24"/>
      <w:szCs w:val="24"/>
    </w:rPr>
  </w:style>
  <w:style w:type="character" w:styleId="CommentReference">
    <w:name w:val="annotation reference"/>
    <w:basedOn w:val="DefaultParagraphFont"/>
    <w:uiPriority w:val="99"/>
    <w:rsid w:val="00E2131F"/>
    <w:rPr>
      <w:sz w:val="18"/>
      <w:szCs w:val="18"/>
    </w:rPr>
  </w:style>
  <w:style w:type="numbering" w:customStyle="1" w:styleId="WWNum13">
    <w:name w:val="WWNum13"/>
    <w:basedOn w:val="NoList"/>
    <w:rsid w:val="00E2131F"/>
    <w:pPr>
      <w:numPr>
        <w:numId w:val="2"/>
      </w:numPr>
    </w:pPr>
  </w:style>
  <w:style w:type="numbering" w:customStyle="1" w:styleId="WWNum17">
    <w:name w:val="WWNum17"/>
    <w:basedOn w:val="NoList"/>
    <w:rsid w:val="00E2131F"/>
    <w:pPr>
      <w:numPr>
        <w:numId w:val="3"/>
      </w:numPr>
    </w:pPr>
  </w:style>
  <w:style w:type="numbering" w:customStyle="1" w:styleId="WWNum19">
    <w:name w:val="WWNum19"/>
    <w:basedOn w:val="NoList"/>
    <w:rsid w:val="00E2131F"/>
    <w:pPr>
      <w:numPr>
        <w:numId w:val="4"/>
      </w:numPr>
    </w:pPr>
  </w:style>
  <w:style w:type="character" w:customStyle="1" w:styleId="BalloonTextChar1">
    <w:name w:val="Balloon Text Char1"/>
    <w:basedOn w:val="DefaultParagraphFont"/>
    <w:link w:val="BalloonText"/>
    <w:uiPriority w:val="99"/>
    <w:semiHidden/>
    <w:rsid w:val="00E2131F"/>
    <w:rPr>
      <w:rFonts w:ascii="Tahoma" w:eastAsia="Cambria" w:hAnsi="Tahoma" w:cs="Tahoma"/>
      <w:kern w:val="3"/>
      <w:sz w:val="16"/>
      <w:szCs w:val="16"/>
    </w:rPr>
  </w:style>
  <w:style w:type="paragraph" w:styleId="Bibliography">
    <w:name w:val="Bibliography"/>
    <w:basedOn w:val="Normal"/>
    <w:next w:val="Normal"/>
    <w:uiPriority w:val="37"/>
    <w:unhideWhenUsed/>
    <w:rsid w:val="00052640"/>
  </w:style>
  <w:style w:type="paragraph" w:styleId="FootnoteText">
    <w:name w:val="footnote text"/>
    <w:basedOn w:val="Normal"/>
    <w:link w:val="FootnoteTextChar"/>
    <w:uiPriority w:val="99"/>
    <w:unhideWhenUsed/>
    <w:rsid w:val="00052640"/>
    <w:pPr>
      <w:widowControl/>
      <w:suppressAutoHyphens w:val="0"/>
      <w:autoSpaceDN/>
      <w:textAlignment w:val="auto"/>
    </w:pPr>
    <w:rPr>
      <w:kern w:val="0"/>
    </w:rPr>
  </w:style>
  <w:style w:type="character" w:customStyle="1" w:styleId="FootnoteTextChar">
    <w:name w:val="Footnote Text Char"/>
    <w:basedOn w:val="DefaultParagraphFont"/>
    <w:link w:val="FootnoteText"/>
    <w:uiPriority w:val="99"/>
    <w:rsid w:val="00052640"/>
    <w:rPr>
      <w:rFonts w:ascii="Cambria" w:eastAsia="Cambria" w:hAnsi="Cambria" w:cs="Times New Roman"/>
      <w:sz w:val="24"/>
      <w:szCs w:val="24"/>
    </w:rPr>
  </w:style>
  <w:style w:type="character" w:styleId="FootnoteReference">
    <w:name w:val="footnote reference"/>
    <w:uiPriority w:val="99"/>
    <w:unhideWhenUsed/>
    <w:rsid w:val="00052640"/>
    <w:rPr>
      <w:vertAlign w:val="superscript"/>
    </w:rPr>
  </w:style>
  <w:style w:type="table" w:styleId="TableGrid">
    <w:name w:val="Table Grid"/>
    <w:basedOn w:val="TableNormal"/>
    <w:uiPriority w:val="59"/>
    <w:rsid w:val="00052640"/>
    <w:pPr>
      <w:spacing w:after="0" w:line="240" w:lineRule="auto"/>
    </w:pPr>
    <w:rPr>
      <w:rFonts w:ascii="Cambria" w:eastAsia="Cambria"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57426"/>
    <w:pPr>
      <w:widowControl/>
      <w:suppressAutoHyphens w:val="0"/>
      <w:autoSpaceDN/>
      <w:spacing w:after="200"/>
      <w:textAlignment w:val="auto"/>
    </w:pPr>
    <w:rPr>
      <w:b/>
      <w:bCs/>
      <w:kern w:val="0"/>
      <w:szCs w:val="18"/>
    </w:rPr>
  </w:style>
  <w:style w:type="table" w:styleId="LightShading">
    <w:name w:val="Light Shading"/>
    <w:basedOn w:val="TableNormal"/>
    <w:uiPriority w:val="60"/>
    <w:rsid w:val="00052640"/>
    <w:pPr>
      <w:spacing w:after="0" w:line="240" w:lineRule="auto"/>
    </w:pPr>
    <w:rPr>
      <w:rFonts w:ascii="Cambria" w:eastAsia="Cambria" w:hAnsi="Cambria" w:cs="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23368A"/>
    <w:pPr>
      <w:widowControl w:val="0"/>
    </w:pPr>
    <w:rPr>
      <w:b/>
      <w:bCs/>
      <w:sz w:val="20"/>
      <w:szCs w:val="20"/>
    </w:rPr>
  </w:style>
  <w:style w:type="character" w:customStyle="1" w:styleId="CommentSubjectChar">
    <w:name w:val="Comment Subject Char"/>
    <w:basedOn w:val="CommentTextChar"/>
    <w:link w:val="CommentSubject"/>
    <w:uiPriority w:val="99"/>
    <w:semiHidden/>
    <w:rsid w:val="0023368A"/>
    <w:rPr>
      <w:rFonts w:ascii="Cambria" w:eastAsia="Cambria" w:hAnsi="Cambria" w:cs="Times New Roman"/>
      <w:b/>
      <w:bCs/>
      <w:kern w:val="3"/>
      <w:sz w:val="20"/>
      <w:szCs w:val="20"/>
    </w:rPr>
  </w:style>
  <w:style w:type="character" w:customStyle="1" w:styleId="il">
    <w:name w:val="il"/>
    <w:basedOn w:val="DefaultParagraphFont"/>
    <w:rsid w:val="009F10DE"/>
  </w:style>
  <w:style w:type="character" w:customStyle="1" w:styleId="apple-converted-space">
    <w:name w:val="apple-converted-space"/>
    <w:basedOn w:val="DefaultParagraphFont"/>
    <w:rsid w:val="009F10DE"/>
  </w:style>
  <w:style w:type="paragraph" w:styleId="HTMLPreformatted">
    <w:name w:val="HTML Preformatted"/>
    <w:basedOn w:val="Normal"/>
    <w:link w:val="HTMLPreformattedChar"/>
    <w:rsid w:val="006E0C89"/>
    <w:rPr>
      <w:rFonts w:ascii="Courier New" w:hAnsi="Courier New"/>
      <w:sz w:val="20"/>
      <w:szCs w:val="20"/>
    </w:rPr>
  </w:style>
  <w:style w:type="character" w:customStyle="1" w:styleId="HTMLPreformattedChar">
    <w:name w:val="HTML Preformatted Char"/>
    <w:basedOn w:val="DefaultParagraphFont"/>
    <w:link w:val="HTMLPreformatted"/>
    <w:rsid w:val="006E0C89"/>
    <w:rPr>
      <w:rFonts w:ascii="Courier New" w:eastAsia="Cambria" w:hAnsi="Courier New" w:cs="Times New Roman"/>
      <w:kern w:val="3"/>
      <w:sz w:val="20"/>
      <w:szCs w:val="20"/>
    </w:rPr>
  </w:style>
  <w:style w:type="paragraph" w:styleId="Revision">
    <w:name w:val="Revision"/>
    <w:hidden/>
    <w:rsid w:val="00621F6E"/>
    <w:pPr>
      <w:spacing w:after="0" w:line="240" w:lineRule="auto"/>
    </w:pPr>
    <w:rPr>
      <w:rFonts w:ascii="Cambria" w:eastAsia="Cambria" w:hAnsi="Cambria" w:cs="Times New Roman"/>
      <w:kern w:val="3"/>
      <w:sz w:val="24"/>
      <w:szCs w:val="24"/>
    </w:rPr>
  </w:style>
  <w:style w:type="paragraph" w:styleId="EndnoteText">
    <w:name w:val="endnote text"/>
    <w:basedOn w:val="Normal"/>
    <w:link w:val="EndnoteTextChar"/>
    <w:rsid w:val="003C7EFA"/>
  </w:style>
  <w:style w:type="character" w:customStyle="1" w:styleId="EndnoteTextChar">
    <w:name w:val="Endnote Text Char"/>
    <w:basedOn w:val="DefaultParagraphFont"/>
    <w:link w:val="EndnoteText"/>
    <w:rsid w:val="003C7EFA"/>
    <w:rPr>
      <w:rFonts w:ascii="Cambria" w:eastAsia="Cambria" w:hAnsi="Cambria" w:cs="Times New Roman"/>
      <w:kern w:val="3"/>
      <w:sz w:val="24"/>
      <w:szCs w:val="24"/>
    </w:rPr>
  </w:style>
  <w:style w:type="character" w:styleId="EndnoteReference">
    <w:name w:val="endnote reference"/>
    <w:basedOn w:val="DefaultParagraphFont"/>
    <w:rsid w:val="003C7EFA"/>
    <w:rPr>
      <w:vertAlign w:val="superscript"/>
    </w:rPr>
  </w:style>
  <w:style w:type="paragraph" w:customStyle="1" w:styleId="Default">
    <w:name w:val="Default"/>
    <w:rsid w:val="002E07FA"/>
    <w:pPr>
      <w:widowControl w:val="0"/>
      <w:autoSpaceDE w:val="0"/>
      <w:autoSpaceDN w:val="0"/>
      <w:adjustRightInd w:val="0"/>
      <w:spacing w:after="0" w:line="240" w:lineRule="auto"/>
    </w:pPr>
    <w:rPr>
      <w:rFonts w:ascii="Code" w:hAnsi="Code" w:cs="Code"/>
      <w:color w:val="000000"/>
      <w:sz w:val="24"/>
      <w:szCs w:val="24"/>
    </w:rPr>
  </w:style>
  <w:style w:type="character" w:styleId="Emphasis">
    <w:name w:val="Emphasis"/>
    <w:basedOn w:val="DefaultParagraphFont"/>
    <w:qFormat/>
    <w:rsid w:val="00BA7459"/>
    <w:rPr>
      <w:i/>
    </w:rPr>
  </w:style>
  <w:style w:type="paragraph" w:styleId="NormalWeb">
    <w:name w:val="Normal (Web)"/>
    <w:basedOn w:val="Normal"/>
    <w:uiPriority w:val="99"/>
    <w:unhideWhenUsed/>
    <w:rsid w:val="00CE350A"/>
    <w:pPr>
      <w:widowControl/>
      <w:suppressAutoHyphens w:val="0"/>
      <w:autoSpaceDN/>
      <w:spacing w:before="100" w:beforeAutospacing="1" w:after="115"/>
      <w:textAlignment w:val="auto"/>
    </w:pPr>
    <w:rPr>
      <w:rFonts w:ascii="Times" w:eastAsiaTheme="minorHAnsi" w:hAnsi="Times"/>
      <w:kern w:val="0"/>
      <w:sz w:val="20"/>
      <w:szCs w:val="20"/>
    </w:rPr>
  </w:style>
  <w:style w:type="character" w:styleId="Hyperlink">
    <w:name w:val="Hyperlink"/>
    <w:basedOn w:val="DefaultParagraphFont"/>
    <w:uiPriority w:val="99"/>
    <w:unhideWhenUsed/>
    <w:rsid w:val="00CE350A"/>
    <w:rPr>
      <w:color w:val="0000FF"/>
      <w:u w:val="single"/>
    </w:rPr>
  </w:style>
  <w:style w:type="paragraph" w:styleId="Footer">
    <w:name w:val="footer"/>
    <w:basedOn w:val="Normal"/>
    <w:link w:val="FooterChar"/>
    <w:rsid w:val="00367B50"/>
    <w:pPr>
      <w:tabs>
        <w:tab w:val="center" w:pos="4320"/>
        <w:tab w:val="right" w:pos="8640"/>
      </w:tabs>
    </w:pPr>
  </w:style>
  <w:style w:type="character" w:customStyle="1" w:styleId="FooterChar">
    <w:name w:val="Footer Char"/>
    <w:basedOn w:val="DefaultParagraphFont"/>
    <w:link w:val="Footer"/>
    <w:rsid w:val="00367B50"/>
    <w:rPr>
      <w:rFonts w:ascii="Cambria" w:eastAsia="Cambria" w:hAnsi="Cambria" w:cs="Times New Roman"/>
      <w:kern w:val="3"/>
      <w:sz w:val="24"/>
      <w:szCs w:val="24"/>
    </w:rPr>
  </w:style>
  <w:style w:type="character" w:styleId="PageNumber">
    <w:name w:val="page number"/>
    <w:basedOn w:val="DefaultParagraphFont"/>
    <w:rsid w:val="00367B50"/>
  </w:style>
  <w:style w:type="paragraph" w:styleId="Header">
    <w:name w:val="header"/>
    <w:basedOn w:val="Normal"/>
    <w:link w:val="HeaderChar"/>
    <w:rsid w:val="0083600B"/>
    <w:pPr>
      <w:tabs>
        <w:tab w:val="center" w:pos="4320"/>
        <w:tab w:val="right" w:pos="8640"/>
      </w:tabs>
    </w:pPr>
  </w:style>
  <w:style w:type="character" w:customStyle="1" w:styleId="HeaderChar">
    <w:name w:val="Header Char"/>
    <w:basedOn w:val="DefaultParagraphFont"/>
    <w:link w:val="Header"/>
    <w:rsid w:val="0083600B"/>
    <w:rPr>
      <w:rFonts w:ascii="Cambria" w:eastAsia="Cambria" w:hAnsi="Cambria" w:cs="Times New Roman"/>
      <w:kern w:val="3"/>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yperlink" w:uiPriority="99"/>
    <w:lsdException w:name="Emphasis" w:qFormat="1"/>
    <w:lsdException w:name="Normal (Web)" w:uiPriority="99"/>
  </w:latentStyles>
  <w:style w:type="paragraph" w:default="1" w:styleId="Normal">
    <w:name w:val="Normal"/>
    <w:qFormat/>
    <w:rsid w:val="00E2131F"/>
    <w:pPr>
      <w:widowControl w:val="0"/>
      <w:suppressAutoHyphens/>
      <w:autoSpaceDN w:val="0"/>
      <w:spacing w:after="0" w:line="240" w:lineRule="auto"/>
      <w:textAlignment w:val="baseline"/>
    </w:pPr>
    <w:rPr>
      <w:rFonts w:ascii="Cambria" w:eastAsia="Cambria" w:hAnsi="Cambria" w:cs="Times New Roman"/>
      <w:kern w:val="3"/>
      <w:sz w:val="24"/>
      <w:szCs w:val="24"/>
    </w:rPr>
  </w:style>
  <w:style w:type="paragraph" w:styleId="Heading1">
    <w:name w:val="heading 1"/>
    <w:basedOn w:val="Standard"/>
    <w:next w:val="Normal"/>
    <w:link w:val="Heading1Char"/>
    <w:rsid w:val="00E2131F"/>
    <w:pPr>
      <w:keepNext/>
      <w:keepLines/>
      <w:widowControl w:val="0"/>
      <w:numPr>
        <w:numId w:val="1"/>
      </w:numPr>
      <w:suppressLineNumbers/>
      <w:spacing w:before="480" w:after="480"/>
      <w:jc w:val="center"/>
      <w:outlineLvl w:val="0"/>
    </w:pPr>
    <w:rPr>
      <w:rFonts w:ascii="Calibri" w:eastAsia="Times New Roman" w:hAnsi="Calibri"/>
      <w:b/>
      <w:bCs/>
      <w:caps/>
    </w:rPr>
  </w:style>
  <w:style w:type="paragraph" w:styleId="Heading2">
    <w:name w:val="heading 2"/>
    <w:basedOn w:val="Standard"/>
    <w:next w:val="Normal"/>
    <w:link w:val="Heading2Char"/>
    <w:rsid w:val="00986537"/>
    <w:pPr>
      <w:keepNext/>
      <w:keepLines/>
      <w:widowControl w:val="0"/>
      <w:numPr>
        <w:ilvl w:val="1"/>
        <w:numId w:val="1"/>
      </w:numPr>
      <w:suppressLineNumbers/>
      <w:spacing w:before="200" w:after="120"/>
      <w:outlineLvl w:val="1"/>
    </w:pPr>
    <w:rPr>
      <w:rFonts w:ascii="Calibri" w:eastAsia="Times New Roman" w:hAnsi="Calibri"/>
      <w:b/>
      <w:bCs/>
    </w:rPr>
  </w:style>
  <w:style w:type="paragraph" w:styleId="Heading3">
    <w:name w:val="heading 3"/>
    <w:basedOn w:val="Standard"/>
    <w:next w:val="Normal"/>
    <w:link w:val="Heading3Char"/>
    <w:rsid w:val="00367B50"/>
    <w:pPr>
      <w:keepNext/>
      <w:keepLines/>
      <w:widowControl w:val="0"/>
      <w:numPr>
        <w:ilvl w:val="2"/>
        <w:numId w:val="1"/>
      </w:numPr>
      <w:suppressLineNumbers/>
      <w:spacing w:before="200"/>
      <w:outlineLvl w:val="2"/>
    </w:pPr>
    <w:rPr>
      <w:rFonts w:ascii="Calibri" w:eastAsia="Times New Roman" w:hAnsi="Calibri"/>
      <w:i/>
      <w:iCs/>
    </w:rPr>
  </w:style>
  <w:style w:type="paragraph" w:styleId="Heading4">
    <w:name w:val="heading 4"/>
    <w:basedOn w:val="Standard"/>
    <w:next w:val="Normal"/>
    <w:link w:val="Heading4Char"/>
    <w:rsid w:val="00E2131F"/>
    <w:pPr>
      <w:keepNext/>
      <w:numPr>
        <w:ilvl w:val="3"/>
        <w:numId w:val="1"/>
      </w:numPr>
      <w:spacing w:before="240" w:after="60"/>
      <w:outlineLvl w:val="3"/>
    </w:pPr>
    <w:rPr>
      <w:rFonts w:cs="F"/>
      <w:b/>
      <w:bCs/>
      <w:sz w:val="28"/>
      <w:szCs w:val="28"/>
    </w:rPr>
  </w:style>
  <w:style w:type="paragraph" w:styleId="Heading5">
    <w:name w:val="heading 5"/>
    <w:basedOn w:val="Standard"/>
    <w:next w:val="Normal"/>
    <w:link w:val="Heading5Char"/>
    <w:rsid w:val="00E2131F"/>
    <w:pPr>
      <w:numPr>
        <w:ilvl w:val="4"/>
        <w:numId w:val="1"/>
      </w:numPr>
      <w:spacing w:before="240" w:after="60"/>
      <w:outlineLvl w:val="4"/>
    </w:pPr>
    <w:rPr>
      <w:rFonts w:cs="F"/>
      <w:b/>
      <w:bCs/>
      <w:i/>
      <w:iCs/>
      <w:sz w:val="26"/>
      <w:szCs w:val="26"/>
    </w:rPr>
  </w:style>
  <w:style w:type="paragraph" w:styleId="Heading6">
    <w:name w:val="heading 6"/>
    <w:basedOn w:val="Standard"/>
    <w:next w:val="Normal"/>
    <w:link w:val="Heading6Char"/>
    <w:rsid w:val="00E2131F"/>
    <w:pPr>
      <w:numPr>
        <w:ilvl w:val="5"/>
        <w:numId w:val="1"/>
      </w:numPr>
      <w:spacing w:before="240" w:after="60"/>
      <w:outlineLvl w:val="5"/>
    </w:pPr>
    <w:rPr>
      <w:rFonts w:cs="F"/>
      <w:b/>
      <w:bCs/>
      <w:sz w:val="22"/>
      <w:szCs w:val="22"/>
    </w:rPr>
  </w:style>
  <w:style w:type="paragraph" w:styleId="Heading7">
    <w:name w:val="heading 7"/>
    <w:basedOn w:val="Standard"/>
    <w:next w:val="Normal"/>
    <w:link w:val="Heading7Char"/>
    <w:rsid w:val="00E2131F"/>
    <w:pPr>
      <w:numPr>
        <w:ilvl w:val="6"/>
        <w:numId w:val="1"/>
      </w:numPr>
      <w:spacing w:before="240" w:after="60"/>
      <w:outlineLvl w:val="6"/>
    </w:pPr>
    <w:rPr>
      <w:rFonts w:cs="F"/>
    </w:rPr>
  </w:style>
  <w:style w:type="paragraph" w:styleId="Heading8">
    <w:name w:val="heading 8"/>
    <w:basedOn w:val="Standard"/>
    <w:next w:val="Normal"/>
    <w:link w:val="Heading8Char"/>
    <w:rsid w:val="00E2131F"/>
    <w:pPr>
      <w:numPr>
        <w:ilvl w:val="7"/>
        <w:numId w:val="1"/>
      </w:numPr>
      <w:spacing w:before="240" w:after="60"/>
      <w:outlineLvl w:val="7"/>
    </w:pPr>
    <w:rPr>
      <w:rFonts w:cs="F"/>
      <w:i/>
      <w:iCs/>
    </w:rPr>
  </w:style>
  <w:style w:type="paragraph" w:styleId="Heading9">
    <w:name w:val="heading 9"/>
    <w:basedOn w:val="Standard"/>
    <w:next w:val="Normal"/>
    <w:link w:val="Heading9Char"/>
    <w:rsid w:val="00E2131F"/>
    <w:pPr>
      <w:numPr>
        <w:ilvl w:val="8"/>
        <w:numId w:val="1"/>
      </w:numPr>
      <w:spacing w:before="240" w:after="60"/>
      <w:outlineLvl w:val="8"/>
    </w:pPr>
    <w:rPr>
      <w:rFonts w:ascii="Calibri" w:hAnsi="Calibri" w:cs="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E2131F"/>
    <w:rPr>
      <w:rFonts w:ascii="Tahoma" w:hAnsi="Tahoma" w:cs="Tahoma"/>
      <w:sz w:val="16"/>
      <w:szCs w:val="16"/>
    </w:rPr>
  </w:style>
  <w:style w:type="character" w:customStyle="1" w:styleId="BalloonTextChar">
    <w:name w:val="Balloon Text Char"/>
    <w:basedOn w:val="DefaultParagraphFont"/>
    <w:uiPriority w:val="99"/>
    <w:semiHidden/>
    <w:rsid w:val="001A176A"/>
    <w:rPr>
      <w:rFonts w:ascii="Lucida Grande" w:hAnsi="Lucida Grande"/>
      <w:sz w:val="18"/>
      <w:szCs w:val="18"/>
    </w:rPr>
  </w:style>
  <w:style w:type="character" w:customStyle="1" w:styleId="Heading1Char">
    <w:name w:val="Heading 1 Char"/>
    <w:basedOn w:val="DefaultParagraphFont"/>
    <w:link w:val="Heading1"/>
    <w:rsid w:val="00E2131F"/>
    <w:rPr>
      <w:rFonts w:ascii="Calibri" w:eastAsia="Times New Roman" w:hAnsi="Calibri" w:cs="Times New Roman"/>
      <w:b/>
      <w:bCs/>
      <w:caps/>
      <w:kern w:val="3"/>
      <w:sz w:val="24"/>
      <w:szCs w:val="24"/>
    </w:rPr>
  </w:style>
  <w:style w:type="character" w:customStyle="1" w:styleId="Heading2Char">
    <w:name w:val="Heading 2 Char"/>
    <w:basedOn w:val="DefaultParagraphFont"/>
    <w:link w:val="Heading2"/>
    <w:rsid w:val="00986537"/>
    <w:rPr>
      <w:rFonts w:ascii="Calibri" w:eastAsia="Times New Roman" w:hAnsi="Calibri" w:cs="Times New Roman"/>
      <w:b/>
      <w:bCs/>
      <w:kern w:val="3"/>
      <w:sz w:val="24"/>
      <w:szCs w:val="24"/>
    </w:rPr>
  </w:style>
  <w:style w:type="character" w:customStyle="1" w:styleId="Heading3Char">
    <w:name w:val="Heading 3 Char"/>
    <w:basedOn w:val="DefaultParagraphFont"/>
    <w:link w:val="Heading3"/>
    <w:rsid w:val="00367B50"/>
    <w:rPr>
      <w:rFonts w:ascii="Calibri" w:eastAsia="Times New Roman" w:hAnsi="Calibri" w:cs="Times New Roman"/>
      <w:i/>
      <w:iCs/>
      <w:kern w:val="3"/>
      <w:sz w:val="24"/>
      <w:szCs w:val="24"/>
    </w:rPr>
  </w:style>
  <w:style w:type="character" w:customStyle="1" w:styleId="Heading4Char">
    <w:name w:val="Heading 4 Char"/>
    <w:basedOn w:val="DefaultParagraphFont"/>
    <w:link w:val="Heading4"/>
    <w:rsid w:val="00E2131F"/>
    <w:rPr>
      <w:rFonts w:ascii="Cambria" w:eastAsia="Cambria" w:hAnsi="Cambria" w:cs="F"/>
      <w:b/>
      <w:bCs/>
      <w:kern w:val="3"/>
      <w:sz w:val="28"/>
      <w:szCs w:val="28"/>
    </w:rPr>
  </w:style>
  <w:style w:type="character" w:customStyle="1" w:styleId="Heading5Char">
    <w:name w:val="Heading 5 Char"/>
    <w:basedOn w:val="DefaultParagraphFont"/>
    <w:link w:val="Heading5"/>
    <w:rsid w:val="00E2131F"/>
    <w:rPr>
      <w:rFonts w:ascii="Cambria" w:eastAsia="Cambria" w:hAnsi="Cambria" w:cs="F"/>
      <w:b/>
      <w:bCs/>
      <w:i/>
      <w:iCs/>
      <w:kern w:val="3"/>
      <w:sz w:val="26"/>
      <w:szCs w:val="26"/>
    </w:rPr>
  </w:style>
  <w:style w:type="character" w:customStyle="1" w:styleId="Heading6Char">
    <w:name w:val="Heading 6 Char"/>
    <w:basedOn w:val="DefaultParagraphFont"/>
    <w:link w:val="Heading6"/>
    <w:rsid w:val="00E2131F"/>
    <w:rPr>
      <w:rFonts w:ascii="Cambria" w:eastAsia="Cambria" w:hAnsi="Cambria" w:cs="F"/>
      <w:b/>
      <w:bCs/>
      <w:kern w:val="3"/>
    </w:rPr>
  </w:style>
  <w:style w:type="character" w:customStyle="1" w:styleId="Heading7Char">
    <w:name w:val="Heading 7 Char"/>
    <w:basedOn w:val="DefaultParagraphFont"/>
    <w:link w:val="Heading7"/>
    <w:rsid w:val="00E2131F"/>
    <w:rPr>
      <w:rFonts w:ascii="Cambria" w:eastAsia="Cambria" w:hAnsi="Cambria" w:cs="F"/>
      <w:kern w:val="3"/>
      <w:sz w:val="24"/>
      <w:szCs w:val="24"/>
    </w:rPr>
  </w:style>
  <w:style w:type="character" w:customStyle="1" w:styleId="Heading8Char">
    <w:name w:val="Heading 8 Char"/>
    <w:basedOn w:val="DefaultParagraphFont"/>
    <w:link w:val="Heading8"/>
    <w:rsid w:val="00E2131F"/>
    <w:rPr>
      <w:rFonts w:ascii="Cambria" w:eastAsia="Cambria" w:hAnsi="Cambria" w:cs="F"/>
      <w:i/>
      <w:iCs/>
      <w:kern w:val="3"/>
      <w:sz w:val="24"/>
      <w:szCs w:val="24"/>
    </w:rPr>
  </w:style>
  <w:style w:type="character" w:customStyle="1" w:styleId="Heading9Char">
    <w:name w:val="Heading 9 Char"/>
    <w:basedOn w:val="DefaultParagraphFont"/>
    <w:link w:val="Heading9"/>
    <w:rsid w:val="00E2131F"/>
    <w:rPr>
      <w:rFonts w:ascii="Calibri" w:eastAsia="Cambria" w:hAnsi="Calibri" w:cs="F"/>
      <w:kern w:val="3"/>
    </w:rPr>
  </w:style>
  <w:style w:type="numbering" w:customStyle="1" w:styleId="WWOutlineListStyle">
    <w:name w:val="WW_OutlineListStyle"/>
    <w:basedOn w:val="NoList"/>
    <w:rsid w:val="00E2131F"/>
    <w:pPr>
      <w:numPr>
        <w:numId w:val="1"/>
      </w:numPr>
    </w:pPr>
  </w:style>
  <w:style w:type="paragraph" w:customStyle="1" w:styleId="Standard">
    <w:name w:val="Standard"/>
    <w:rsid w:val="00E2131F"/>
    <w:pPr>
      <w:suppressAutoHyphens/>
      <w:autoSpaceDN w:val="0"/>
      <w:spacing w:after="0" w:line="240" w:lineRule="auto"/>
      <w:textAlignment w:val="baseline"/>
    </w:pPr>
    <w:rPr>
      <w:rFonts w:ascii="Cambria" w:eastAsia="Cambria" w:hAnsi="Cambria" w:cs="Times New Roman"/>
      <w:kern w:val="3"/>
      <w:sz w:val="24"/>
      <w:szCs w:val="24"/>
    </w:rPr>
  </w:style>
  <w:style w:type="paragraph" w:customStyle="1" w:styleId="ColorfulList-Accent11">
    <w:name w:val="Colorful List - Accent 11"/>
    <w:basedOn w:val="Standard"/>
    <w:uiPriority w:val="34"/>
    <w:qFormat/>
    <w:rsid w:val="00E2131F"/>
    <w:pPr>
      <w:ind w:left="720"/>
    </w:pPr>
  </w:style>
  <w:style w:type="paragraph" w:styleId="ListParagraph">
    <w:name w:val="List Paragraph"/>
    <w:basedOn w:val="Standard"/>
    <w:uiPriority w:val="34"/>
    <w:qFormat/>
    <w:rsid w:val="00E2131F"/>
    <w:pPr>
      <w:ind w:left="720"/>
    </w:pPr>
  </w:style>
  <w:style w:type="paragraph" w:styleId="CommentText">
    <w:name w:val="annotation text"/>
    <w:basedOn w:val="Standard"/>
    <w:link w:val="CommentTextChar"/>
    <w:uiPriority w:val="99"/>
    <w:rsid w:val="00E2131F"/>
  </w:style>
  <w:style w:type="character" w:customStyle="1" w:styleId="CommentTextChar">
    <w:name w:val="Comment Text Char"/>
    <w:basedOn w:val="DefaultParagraphFont"/>
    <w:link w:val="CommentText"/>
    <w:uiPriority w:val="99"/>
    <w:rsid w:val="00E2131F"/>
    <w:rPr>
      <w:rFonts w:ascii="Cambria" w:eastAsia="Cambria" w:hAnsi="Cambria" w:cs="Times New Roman"/>
      <w:kern w:val="3"/>
      <w:sz w:val="24"/>
      <w:szCs w:val="24"/>
    </w:rPr>
  </w:style>
  <w:style w:type="character" w:styleId="CommentReference">
    <w:name w:val="annotation reference"/>
    <w:basedOn w:val="DefaultParagraphFont"/>
    <w:uiPriority w:val="99"/>
    <w:rsid w:val="00E2131F"/>
    <w:rPr>
      <w:sz w:val="18"/>
      <w:szCs w:val="18"/>
    </w:rPr>
  </w:style>
  <w:style w:type="numbering" w:customStyle="1" w:styleId="WWNum13">
    <w:name w:val="WWNum13"/>
    <w:basedOn w:val="NoList"/>
    <w:rsid w:val="00E2131F"/>
    <w:pPr>
      <w:numPr>
        <w:numId w:val="2"/>
      </w:numPr>
    </w:pPr>
  </w:style>
  <w:style w:type="numbering" w:customStyle="1" w:styleId="WWNum17">
    <w:name w:val="WWNum17"/>
    <w:basedOn w:val="NoList"/>
    <w:rsid w:val="00E2131F"/>
    <w:pPr>
      <w:numPr>
        <w:numId w:val="3"/>
      </w:numPr>
    </w:pPr>
  </w:style>
  <w:style w:type="numbering" w:customStyle="1" w:styleId="WWNum19">
    <w:name w:val="WWNum19"/>
    <w:basedOn w:val="NoList"/>
    <w:rsid w:val="00E2131F"/>
    <w:pPr>
      <w:numPr>
        <w:numId w:val="4"/>
      </w:numPr>
    </w:pPr>
  </w:style>
  <w:style w:type="character" w:customStyle="1" w:styleId="BalloonTextChar1">
    <w:name w:val="Balloon Text Char1"/>
    <w:basedOn w:val="DefaultParagraphFont"/>
    <w:link w:val="BalloonText"/>
    <w:uiPriority w:val="99"/>
    <w:semiHidden/>
    <w:rsid w:val="00E2131F"/>
    <w:rPr>
      <w:rFonts w:ascii="Tahoma" w:eastAsia="Cambria" w:hAnsi="Tahoma" w:cs="Tahoma"/>
      <w:kern w:val="3"/>
      <w:sz w:val="16"/>
      <w:szCs w:val="16"/>
    </w:rPr>
  </w:style>
  <w:style w:type="paragraph" w:styleId="Bibliography">
    <w:name w:val="Bibliography"/>
    <w:basedOn w:val="Normal"/>
    <w:next w:val="Normal"/>
    <w:uiPriority w:val="37"/>
    <w:unhideWhenUsed/>
    <w:rsid w:val="00052640"/>
  </w:style>
  <w:style w:type="paragraph" w:styleId="FootnoteText">
    <w:name w:val="footnote text"/>
    <w:basedOn w:val="Normal"/>
    <w:link w:val="FootnoteTextChar"/>
    <w:uiPriority w:val="99"/>
    <w:unhideWhenUsed/>
    <w:rsid w:val="00052640"/>
    <w:pPr>
      <w:widowControl/>
      <w:suppressAutoHyphens w:val="0"/>
      <w:autoSpaceDN/>
      <w:textAlignment w:val="auto"/>
    </w:pPr>
    <w:rPr>
      <w:kern w:val="0"/>
    </w:rPr>
  </w:style>
  <w:style w:type="character" w:customStyle="1" w:styleId="FootnoteTextChar">
    <w:name w:val="Footnote Text Char"/>
    <w:basedOn w:val="DefaultParagraphFont"/>
    <w:link w:val="FootnoteText"/>
    <w:uiPriority w:val="99"/>
    <w:rsid w:val="00052640"/>
    <w:rPr>
      <w:rFonts w:ascii="Cambria" w:eastAsia="Cambria" w:hAnsi="Cambria" w:cs="Times New Roman"/>
      <w:sz w:val="24"/>
      <w:szCs w:val="24"/>
    </w:rPr>
  </w:style>
  <w:style w:type="character" w:styleId="FootnoteReference">
    <w:name w:val="footnote reference"/>
    <w:uiPriority w:val="99"/>
    <w:unhideWhenUsed/>
    <w:rsid w:val="00052640"/>
    <w:rPr>
      <w:vertAlign w:val="superscript"/>
    </w:rPr>
  </w:style>
  <w:style w:type="table" w:styleId="TableGrid">
    <w:name w:val="Table Grid"/>
    <w:basedOn w:val="TableNormal"/>
    <w:uiPriority w:val="59"/>
    <w:rsid w:val="00052640"/>
    <w:pPr>
      <w:spacing w:after="0" w:line="240" w:lineRule="auto"/>
    </w:pPr>
    <w:rPr>
      <w:rFonts w:ascii="Cambria" w:eastAsia="Cambria"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57426"/>
    <w:pPr>
      <w:widowControl/>
      <w:suppressAutoHyphens w:val="0"/>
      <w:autoSpaceDN/>
      <w:spacing w:after="200"/>
      <w:textAlignment w:val="auto"/>
    </w:pPr>
    <w:rPr>
      <w:b/>
      <w:bCs/>
      <w:kern w:val="0"/>
      <w:szCs w:val="18"/>
    </w:rPr>
  </w:style>
  <w:style w:type="table" w:styleId="LightShading">
    <w:name w:val="Light Shading"/>
    <w:basedOn w:val="TableNormal"/>
    <w:uiPriority w:val="60"/>
    <w:rsid w:val="00052640"/>
    <w:pPr>
      <w:spacing w:after="0" w:line="240" w:lineRule="auto"/>
    </w:pPr>
    <w:rPr>
      <w:rFonts w:ascii="Cambria" w:eastAsia="Cambria" w:hAnsi="Cambria" w:cs="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23368A"/>
    <w:pPr>
      <w:widowControl w:val="0"/>
    </w:pPr>
    <w:rPr>
      <w:b/>
      <w:bCs/>
      <w:sz w:val="20"/>
      <w:szCs w:val="20"/>
    </w:rPr>
  </w:style>
  <w:style w:type="character" w:customStyle="1" w:styleId="CommentSubjectChar">
    <w:name w:val="Comment Subject Char"/>
    <w:basedOn w:val="CommentTextChar"/>
    <w:link w:val="CommentSubject"/>
    <w:uiPriority w:val="99"/>
    <w:semiHidden/>
    <w:rsid w:val="0023368A"/>
    <w:rPr>
      <w:rFonts w:ascii="Cambria" w:eastAsia="Cambria" w:hAnsi="Cambria" w:cs="Times New Roman"/>
      <w:b/>
      <w:bCs/>
      <w:kern w:val="3"/>
      <w:sz w:val="20"/>
      <w:szCs w:val="20"/>
    </w:rPr>
  </w:style>
  <w:style w:type="character" w:customStyle="1" w:styleId="il">
    <w:name w:val="il"/>
    <w:basedOn w:val="DefaultParagraphFont"/>
    <w:rsid w:val="009F10DE"/>
  </w:style>
  <w:style w:type="character" w:customStyle="1" w:styleId="apple-converted-space">
    <w:name w:val="apple-converted-space"/>
    <w:basedOn w:val="DefaultParagraphFont"/>
    <w:rsid w:val="009F10DE"/>
  </w:style>
  <w:style w:type="paragraph" w:styleId="HTMLPreformatted">
    <w:name w:val="HTML Preformatted"/>
    <w:basedOn w:val="Normal"/>
    <w:link w:val="HTMLPreformattedChar"/>
    <w:rsid w:val="006E0C89"/>
    <w:rPr>
      <w:rFonts w:ascii="Courier New" w:hAnsi="Courier New"/>
      <w:sz w:val="20"/>
      <w:szCs w:val="20"/>
    </w:rPr>
  </w:style>
  <w:style w:type="character" w:customStyle="1" w:styleId="HTMLPreformattedChar">
    <w:name w:val="HTML Preformatted Char"/>
    <w:basedOn w:val="DefaultParagraphFont"/>
    <w:link w:val="HTMLPreformatted"/>
    <w:rsid w:val="006E0C89"/>
    <w:rPr>
      <w:rFonts w:ascii="Courier New" w:eastAsia="Cambria" w:hAnsi="Courier New" w:cs="Times New Roman"/>
      <w:kern w:val="3"/>
      <w:sz w:val="20"/>
      <w:szCs w:val="20"/>
    </w:rPr>
  </w:style>
  <w:style w:type="paragraph" w:styleId="Revision">
    <w:name w:val="Revision"/>
    <w:hidden/>
    <w:rsid w:val="00621F6E"/>
    <w:pPr>
      <w:spacing w:after="0" w:line="240" w:lineRule="auto"/>
    </w:pPr>
    <w:rPr>
      <w:rFonts w:ascii="Cambria" w:eastAsia="Cambria" w:hAnsi="Cambria" w:cs="Times New Roman"/>
      <w:kern w:val="3"/>
      <w:sz w:val="24"/>
      <w:szCs w:val="24"/>
    </w:rPr>
  </w:style>
  <w:style w:type="paragraph" w:styleId="EndnoteText">
    <w:name w:val="endnote text"/>
    <w:basedOn w:val="Normal"/>
    <w:link w:val="EndnoteTextChar"/>
    <w:rsid w:val="003C7EFA"/>
  </w:style>
  <w:style w:type="character" w:customStyle="1" w:styleId="EndnoteTextChar">
    <w:name w:val="Endnote Text Char"/>
    <w:basedOn w:val="DefaultParagraphFont"/>
    <w:link w:val="EndnoteText"/>
    <w:rsid w:val="003C7EFA"/>
    <w:rPr>
      <w:rFonts w:ascii="Cambria" w:eastAsia="Cambria" w:hAnsi="Cambria" w:cs="Times New Roman"/>
      <w:kern w:val="3"/>
      <w:sz w:val="24"/>
      <w:szCs w:val="24"/>
    </w:rPr>
  </w:style>
  <w:style w:type="character" w:styleId="EndnoteReference">
    <w:name w:val="endnote reference"/>
    <w:basedOn w:val="DefaultParagraphFont"/>
    <w:rsid w:val="003C7EFA"/>
    <w:rPr>
      <w:vertAlign w:val="superscript"/>
    </w:rPr>
  </w:style>
  <w:style w:type="paragraph" w:customStyle="1" w:styleId="Default">
    <w:name w:val="Default"/>
    <w:rsid w:val="002E07FA"/>
    <w:pPr>
      <w:widowControl w:val="0"/>
      <w:autoSpaceDE w:val="0"/>
      <w:autoSpaceDN w:val="0"/>
      <w:adjustRightInd w:val="0"/>
      <w:spacing w:after="0" w:line="240" w:lineRule="auto"/>
    </w:pPr>
    <w:rPr>
      <w:rFonts w:ascii="Code" w:hAnsi="Code" w:cs="Code"/>
      <w:color w:val="000000"/>
      <w:sz w:val="24"/>
      <w:szCs w:val="24"/>
    </w:rPr>
  </w:style>
  <w:style w:type="character" w:styleId="Emphasis">
    <w:name w:val="Emphasis"/>
    <w:basedOn w:val="DefaultParagraphFont"/>
    <w:qFormat/>
    <w:rsid w:val="00BA7459"/>
    <w:rPr>
      <w:i/>
    </w:rPr>
  </w:style>
  <w:style w:type="paragraph" w:styleId="NormalWeb">
    <w:name w:val="Normal (Web)"/>
    <w:basedOn w:val="Normal"/>
    <w:uiPriority w:val="99"/>
    <w:unhideWhenUsed/>
    <w:rsid w:val="00CE350A"/>
    <w:pPr>
      <w:widowControl/>
      <w:suppressAutoHyphens w:val="0"/>
      <w:autoSpaceDN/>
      <w:spacing w:before="100" w:beforeAutospacing="1" w:after="115"/>
      <w:textAlignment w:val="auto"/>
    </w:pPr>
    <w:rPr>
      <w:rFonts w:ascii="Times" w:eastAsiaTheme="minorHAnsi" w:hAnsi="Times"/>
      <w:kern w:val="0"/>
      <w:sz w:val="20"/>
      <w:szCs w:val="20"/>
    </w:rPr>
  </w:style>
  <w:style w:type="character" w:styleId="Hyperlink">
    <w:name w:val="Hyperlink"/>
    <w:basedOn w:val="DefaultParagraphFont"/>
    <w:uiPriority w:val="99"/>
    <w:unhideWhenUsed/>
    <w:rsid w:val="00CE350A"/>
    <w:rPr>
      <w:color w:val="0000FF"/>
      <w:u w:val="single"/>
    </w:rPr>
  </w:style>
  <w:style w:type="paragraph" w:styleId="Footer">
    <w:name w:val="footer"/>
    <w:basedOn w:val="Normal"/>
    <w:link w:val="FooterChar"/>
    <w:rsid w:val="00367B50"/>
    <w:pPr>
      <w:tabs>
        <w:tab w:val="center" w:pos="4320"/>
        <w:tab w:val="right" w:pos="8640"/>
      </w:tabs>
    </w:pPr>
  </w:style>
  <w:style w:type="character" w:customStyle="1" w:styleId="FooterChar">
    <w:name w:val="Footer Char"/>
    <w:basedOn w:val="DefaultParagraphFont"/>
    <w:link w:val="Footer"/>
    <w:rsid w:val="00367B50"/>
    <w:rPr>
      <w:rFonts w:ascii="Cambria" w:eastAsia="Cambria" w:hAnsi="Cambria" w:cs="Times New Roman"/>
      <w:kern w:val="3"/>
      <w:sz w:val="24"/>
      <w:szCs w:val="24"/>
    </w:rPr>
  </w:style>
  <w:style w:type="character" w:styleId="PageNumber">
    <w:name w:val="page number"/>
    <w:basedOn w:val="DefaultParagraphFont"/>
    <w:rsid w:val="00367B50"/>
  </w:style>
  <w:style w:type="paragraph" w:styleId="Header">
    <w:name w:val="header"/>
    <w:basedOn w:val="Normal"/>
    <w:link w:val="HeaderChar"/>
    <w:rsid w:val="0083600B"/>
    <w:pPr>
      <w:tabs>
        <w:tab w:val="center" w:pos="4320"/>
        <w:tab w:val="right" w:pos="8640"/>
      </w:tabs>
    </w:pPr>
  </w:style>
  <w:style w:type="character" w:customStyle="1" w:styleId="HeaderChar">
    <w:name w:val="Header Char"/>
    <w:basedOn w:val="DefaultParagraphFont"/>
    <w:link w:val="Header"/>
    <w:rsid w:val="0083600B"/>
    <w:rPr>
      <w:rFonts w:ascii="Cambria" w:eastAsia="Cambria" w:hAnsi="Cambria" w:cs="Times New Roman"/>
      <w:kern w:val="3"/>
      <w:sz w:val="24"/>
      <w:szCs w:val="24"/>
    </w:rPr>
  </w:style>
</w:styles>
</file>

<file path=word/webSettings.xml><?xml version="1.0" encoding="utf-8"?>
<w:webSettings xmlns:r="http://schemas.openxmlformats.org/officeDocument/2006/relationships" xmlns:w="http://schemas.openxmlformats.org/wordprocessingml/2006/main">
  <w:divs>
    <w:div w:id="338967227">
      <w:bodyDiv w:val="1"/>
      <w:marLeft w:val="0"/>
      <w:marRight w:val="0"/>
      <w:marTop w:val="0"/>
      <w:marBottom w:val="0"/>
      <w:divBdr>
        <w:top w:val="none" w:sz="0" w:space="0" w:color="auto"/>
        <w:left w:val="none" w:sz="0" w:space="0" w:color="auto"/>
        <w:bottom w:val="none" w:sz="0" w:space="0" w:color="auto"/>
        <w:right w:val="none" w:sz="0" w:space="0" w:color="auto"/>
      </w:divBdr>
      <w:divsChild>
        <w:div w:id="281545199">
          <w:marLeft w:val="0"/>
          <w:marRight w:val="0"/>
          <w:marTop w:val="0"/>
          <w:marBottom w:val="0"/>
          <w:divBdr>
            <w:top w:val="none" w:sz="0" w:space="0" w:color="auto"/>
            <w:left w:val="none" w:sz="0" w:space="0" w:color="auto"/>
            <w:bottom w:val="none" w:sz="0" w:space="0" w:color="auto"/>
            <w:right w:val="none" w:sz="0" w:space="0" w:color="auto"/>
          </w:divBdr>
          <w:divsChild>
            <w:div w:id="1946644894">
              <w:marLeft w:val="0"/>
              <w:marRight w:val="0"/>
              <w:marTop w:val="0"/>
              <w:marBottom w:val="0"/>
              <w:divBdr>
                <w:top w:val="none" w:sz="0" w:space="0" w:color="auto"/>
                <w:left w:val="none" w:sz="0" w:space="0" w:color="auto"/>
                <w:bottom w:val="none" w:sz="0" w:space="0" w:color="auto"/>
                <w:right w:val="none" w:sz="0" w:space="0" w:color="auto"/>
              </w:divBdr>
            </w:div>
            <w:div w:id="1801801248">
              <w:marLeft w:val="0"/>
              <w:marRight w:val="0"/>
              <w:marTop w:val="0"/>
              <w:marBottom w:val="0"/>
              <w:divBdr>
                <w:top w:val="none" w:sz="0" w:space="0" w:color="auto"/>
                <w:left w:val="none" w:sz="0" w:space="0" w:color="auto"/>
                <w:bottom w:val="none" w:sz="0" w:space="0" w:color="auto"/>
                <w:right w:val="none" w:sz="0" w:space="0" w:color="auto"/>
              </w:divBdr>
            </w:div>
            <w:div w:id="856886940">
              <w:marLeft w:val="0"/>
              <w:marRight w:val="0"/>
              <w:marTop w:val="0"/>
              <w:marBottom w:val="0"/>
              <w:divBdr>
                <w:top w:val="none" w:sz="0" w:space="0" w:color="auto"/>
                <w:left w:val="none" w:sz="0" w:space="0" w:color="auto"/>
                <w:bottom w:val="none" w:sz="0" w:space="0" w:color="auto"/>
                <w:right w:val="none" w:sz="0" w:space="0" w:color="auto"/>
              </w:divBdr>
            </w:div>
            <w:div w:id="19460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3242">
      <w:bodyDiv w:val="1"/>
      <w:marLeft w:val="0"/>
      <w:marRight w:val="0"/>
      <w:marTop w:val="0"/>
      <w:marBottom w:val="0"/>
      <w:divBdr>
        <w:top w:val="none" w:sz="0" w:space="0" w:color="auto"/>
        <w:left w:val="none" w:sz="0" w:space="0" w:color="auto"/>
        <w:bottom w:val="none" w:sz="0" w:space="0" w:color="auto"/>
        <w:right w:val="none" w:sz="0" w:space="0" w:color="auto"/>
      </w:divBdr>
    </w:div>
    <w:div w:id="770200335">
      <w:bodyDiv w:val="1"/>
      <w:marLeft w:val="0"/>
      <w:marRight w:val="0"/>
      <w:marTop w:val="0"/>
      <w:marBottom w:val="0"/>
      <w:divBdr>
        <w:top w:val="none" w:sz="0" w:space="0" w:color="auto"/>
        <w:left w:val="none" w:sz="0" w:space="0" w:color="auto"/>
        <w:bottom w:val="none" w:sz="0" w:space="0" w:color="auto"/>
        <w:right w:val="none" w:sz="0" w:space="0" w:color="auto"/>
      </w:divBdr>
      <w:divsChild>
        <w:div w:id="75715221">
          <w:marLeft w:val="0"/>
          <w:marRight w:val="0"/>
          <w:marTop w:val="0"/>
          <w:marBottom w:val="0"/>
          <w:divBdr>
            <w:top w:val="none" w:sz="0" w:space="0" w:color="auto"/>
            <w:left w:val="none" w:sz="0" w:space="0" w:color="auto"/>
            <w:bottom w:val="none" w:sz="0" w:space="0" w:color="auto"/>
            <w:right w:val="none" w:sz="0" w:space="0" w:color="auto"/>
          </w:divBdr>
          <w:divsChild>
            <w:div w:id="661083571">
              <w:marLeft w:val="0"/>
              <w:marRight w:val="0"/>
              <w:marTop w:val="0"/>
              <w:marBottom w:val="0"/>
              <w:divBdr>
                <w:top w:val="none" w:sz="0" w:space="0" w:color="auto"/>
                <w:left w:val="none" w:sz="0" w:space="0" w:color="auto"/>
                <w:bottom w:val="none" w:sz="0" w:space="0" w:color="auto"/>
                <w:right w:val="none" w:sz="0" w:space="0" w:color="auto"/>
              </w:divBdr>
            </w:div>
            <w:div w:id="1453860376">
              <w:marLeft w:val="0"/>
              <w:marRight w:val="0"/>
              <w:marTop w:val="0"/>
              <w:marBottom w:val="0"/>
              <w:divBdr>
                <w:top w:val="none" w:sz="0" w:space="0" w:color="auto"/>
                <w:left w:val="none" w:sz="0" w:space="0" w:color="auto"/>
                <w:bottom w:val="none" w:sz="0" w:space="0" w:color="auto"/>
                <w:right w:val="none" w:sz="0" w:space="0" w:color="auto"/>
              </w:divBdr>
            </w:div>
            <w:div w:id="104810626">
              <w:marLeft w:val="0"/>
              <w:marRight w:val="0"/>
              <w:marTop w:val="0"/>
              <w:marBottom w:val="0"/>
              <w:divBdr>
                <w:top w:val="none" w:sz="0" w:space="0" w:color="auto"/>
                <w:left w:val="none" w:sz="0" w:space="0" w:color="auto"/>
                <w:bottom w:val="none" w:sz="0" w:space="0" w:color="auto"/>
                <w:right w:val="none" w:sz="0" w:space="0" w:color="auto"/>
              </w:divBdr>
            </w:div>
            <w:div w:id="11038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07185">
      <w:bodyDiv w:val="1"/>
      <w:marLeft w:val="0"/>
      <w:marRight w:val="0"/>
      <w:marTop w:val="0"/>
      <w:marBottom w:val="0"/>
      <w:divBdr>
        <w:top w:val="none" w:sz="0" w:space="0" w:color="auto"/>
        <w:left w:val="none" w:sz="0" w:space="0" w:color="auto"/>
        <w:bottom w:val="none" w:sz="0" w:space="0" w:color="auto"/>
        <w:right w:val="none" w:sz="0" w:space="0" w:color="auto"/>
      </w:divBdr>
    </w:div>
    <w:div w:id="1429812749">
      <w:bodyDiv w:val="1"/>
      <w:marLeft w:val="0"/>
      <w:marRight w:val="0"/>
      <w:marTop w:val="0"/>
      <w:marBottom w:val="0"/>
      <w:divBdr>
        <w:top w:val="none" w:sz="0" w:space="0" w:color="auto"/>
        <w:left w:val="none" w:sz="0" w:space="0" w:color="auto"/>
        <w:bottom w:val="none" w:sz="0" w:space="0" w:color="auto"/>
        <w:right w:val="none" w:sz="0" w:space="0" w:color="auto"/>
      </w:divBdr>
    </w:div>
    <w:div w:id="1778213533">
      <w:bodyDiv w:val="1"/>
      <w:marLeft w:val="0"/>
      <w:marRight w:val="0"/>
      <w:marTop w:val="0"/>
      <w:marBottom w:val="0"/>
      <w:divBdr>
        <w:top w:val="none" w:sz="0" w:space="0" w:color="auto"/>
        <w:left w:val="none" w:sz="0" w:space="0" w:color="auto"/>
        <w:bottom w:val="none" w:sz="0" w:space="0" w:color="auto"/>
        <w:right w:val="none" w:sz="0" w:space="0" w:color="auto"/>
      </w:divBdr>
    </w:div>
    <w:div w:id="1806774194">
      <w:bodyDiv w:val="1"/>
      <w:marLeft w:val="0"/>
      <w:marRight w:val="0"/>
      <w:marTop w:val="0"/>
      <w:marBottom w:val="0"/>
      <w:divBdr>
        <w:top w:val="none" w:sz="0" w:space="0" w:color="auto"/>
        <w:left w:val="none" w:sz="0" w:space="0" w:color="auto"/>
        <w:bottom w:val="none" w:sz="0" w:space="0" w:color="auto"/>
        <w:right w:val="none" w:sz="0" w:space="0" w:color="auto"/>
      </w:divBdr>
    </w:div>
    <w:div w:id="186771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F3EF7-2E44-4391-A5C5-A27321DF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14268</Words>
  <Characters>81329</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Jonathan</cp:lastModifiedBy>
  <cp:revision>2</cp:revision>
  <cp:lastPrinted>2013-02-21T17:51:00Z</cp:lastPrinted>
  <dcterms:created xsi:type="dcterms:W3CDTF">2013-10-29T14:40:00Z</dcterms:created>
  <dcterms:modified xsi:type="dcterms:W3CDTF">2013-10-29T14:40:00Z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zotero-version="4.0.9"&gt;&lt;session id="Kw5I2Bg4"/&gt;&lt;style id="http://www.zotero.org/styles/american-anthropological-association" hasBibliography="1" bibliographyStyleHasBeenSet="1"/&gt;&lt;prefs&gt;&lt;pref name="fieldType" value="Field"/&gt;&lt;pref nam</vt:lpwstr>
  </property>
  <property fmtid="{D5CDD505-2E9C-101B-9397-08002B2CF9AE}" pid="3" name="ZOTERO_PREF_2">
    <vt:lpwstr>e="storeReferences" value="true"/&gt;&lt;pref name="automaticJournalAbbreviations" value="false"/&gt;&lt;pref name="noteType" value="0"/&gt;&lt;/prefs&gt;&lt;/data&gt;</vt:lpwstr>
  </property>
</Properties>
</file>